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080" w:type="dxa"/>
        <w:tblInd w:w="250" w:type="dxa"/>
        <w:tblLook w:val="01E0" w:firstRow="1" w:lastRow="1" w:firstColumn="1" w:lastColumn="1" w:noHBand="0" w:noVBand="0"/>
      </w:tblPr>
      <w:tblGrid>
        <w:gridCol w:w="5238"/>
        <w:gridCol w:w="2842"/>
      </w:tblGrid>
      <w:tr w:rsidR="00B62A5C" w14:paraId="0EC80D65" w14:textId="77777777" w:rsidTr="00645A48">
        <w:tc>
          <w:tcPr>
            <w:tcW w:w="5238" w:type="dxa"/>
          </w:tcPr>
          <w:p w14:paraId="49A2AC15" w14:textId="016509E9" w:rsidR="00645A48" w:rsidRPr="003E5EB9" w:rsidRDefault="0090499F" w:rsidP="009460F8">
            <w:pPr>
              <w:keepNext/>
              <w:suppressAutoHyphens/>
              <w:spacing w:after="220"/>
              <w:ind w:left="-108"/>
              <w:jc w:val="left"/>
              <w:outlineLvl w:val="1"/>
              <w:rPr>
                <w:rFonts w:ascii="Times New Roman" w:eastAsia="Microsoft JhengHei" w:hAnsi="Times New Roman"/>
                <w:b/>
                <w:sz w:val="20"/>
              </w:rPr>
            </w:pPr>
            <w:r w:rsidRPr="003E5EB9">
              <w:rPr>
                <w:rFonts w:ascii="Times New Roman" w:eastAsia="Microsoft JhengHei" w:hAnsi="Times New Roman"/>
                <w:b/>
                <w:sz w:val="20"/>
              </w:rPr>
              <w:t xml:space="preserve">SUPPLEMENT No. </w:t>
            </w:r>
            <w:r w:rsidR="00CE165F">
              <w:rPr>
                <w:rFonts w:ascii="Times New Roman" w:eastAsia="Microsoft JhengHei" w:hAnsi="Times New Roman"/>
                <w:b/>
                <w:sz w:val="20"/>
              </w:rPr>
              <w:t>3</w:t>
            </w:r>
            <w:r w:rsidR="000871B4" w:rsidRPr="003E5EB9">
              <w:rPr>
                <w:rFonts w:ascii="Times New Roman" w:eastAsia="Microsoft JhengHei" w:hAnsi="Times New Roman"/>
                <w:b/>
                <w:sz w:val="20"/>
              </w:rPr>
              <w:t xml:space="preserve"> </w:t>
            </w:r>
            <w:r w:rsidRPr="003E5EB9">
              <w:rPr>
                <w:rFonts w:ascii="Times New Roman" w:eastAsia="Microsoft JhengHei" w:hAnsi="Times New Roman"/>
                <w:b/>
                <w:sz w:val="20"/>
              </w:rPr>
              <w:t>DATED</w:t>
            </w:r>
            <w:r w:rsidR="000871B4" w:rsidRPr="003E5EB9">
              <w:rPr>
                <w:rFonts w:ascii="Times New Roman" w:eastAsia="Microsoft JhengHei" w:hAnsi="Times New Roman"/>
                <w:b/>
                <w:sz w:val="20"/>
              </w:rPr>
              <w:t xml:space="preserve"> </w:t>
            </w:r>
            <w:bookmarkStart w:id="0" w:name="_Hlk146638148"/>
            <w:r w:rsidR="00D81DB4">
              <w:rPr>
                <w:rFonts w:ascii="Times New Roman" w:eastAsia="Microsoft JhengHei" w:hAnsi="Times New Roman"/>
                <w:b/>
                <w:sz w:val="20"/>
              </w:rPr>
              <w:t>6</w:t>
            </w:r>
            <w:r w:rsidR="00CE165F">
              <w:rPr>
                <w:rFonts w:ascii="Times New Roman" w:eastAsia="Microsoft JhengHei" w:hAnsi="Times New Roman"/>
                <w:b/>
                <w:sz w:val="20"/>
              </w:rPr>
              <w:t xml:space="preserve"> AUGUST</w:t>
            </w:r>
            <w:r w:rsidR="00692D0A">
              <w:rPr>
                <w:rFonts w:ascii="Times New Roman" w:eastAsia="Microsoft JhengHei" w:hAnsi="Times New Roman"/>
                <w:b/>
                <w:sz w:val="20"/>
              </w:rPr>
              <w:t xml:space="preserve"> 202</w:t>
            </w:r>
            <w:r w:rsidR="00921312">
              <w:rPr>
                <w:rFonts w:ascii="Times New Roman" w:eastAsia="Microsoft JhengHei" w:hAnsi="Times New Roman"/>
                <w:b/>
                <w:sz w:val="20"/>
              </w:rPr>
              <w:t>5</w:t>
            </w:r>
            <w:r w:rsidRPr="003E5EB9">
              <w:rPr>
                <w:rFonts w:ascii="Times New Roman" w:eastAsia="Microsoft JhengHei" w:hAnsi="Times New Roman"/>
                <w:b/>
                <w:sz w:val="20"/>
              </w:rPr>
              <w:t xml:space="preserve"> </w:t>
            </w:r>
            <w:bookmarkEnd w:id="0"/>
            <w:r w:rsidRPr="003E5EB9">
              <w:rPr>
                <w:rFonts w:ascii="Times New Roman" w:eastAsia="Microsoft JhengHei" w:hAnsi="Times New Roman"/>
                <w:b/>
                <w:sz w:val="20"/>
              </w:rPr>
              <w:t xml:space="preserve">TO THE OFFERING CIRCULAR DATED </w:t>
            </w:r>
            <w:r w:rsidR="00692D0A">
              <w:rPr>
                <w:rFonts w:ascii="Times New Roman" w:eastAsia="Microsoft JhengHei" w:hAnsi="Times New Roman"/>
                <w:b/>
                <w:sz w:val="20"/>
              </w:rPr>
              <w:t>1</w:t>
            </w:r>
            <w:r w:rsidR="00921312">
              <w:rPr>
                <w:rFonts w:ascii="Times New Roman" w:eastAsia="Microsoft JhengHei" w:hAnsi="Times New Roman"/>
                <w:b/>
                <w:sz w:val="20"/>
              </w:rPr>
              <w:t>7</w:t>
            </w:r>
            <w:r w:rsidR="00692D0A">
              <w:rPr>
                <w:rFonts w:ascii="Times New Roman" w:eastAsia="Microsoft JhengHei" w:hAnsi="Times New Roman"/>
                <w:b/>
                <w:sz w:val="20"/>
              </w:rPr>
              <w:t xml:space="preserve"> APRIL 202</w:t>
            </w:r>
            <w:r w:rsidR="00921312">
              <w:rPr>
                <w:rFonts w:ascii="Times New Roman" w:eastAsia="Microsoft JhengHei" w:hAnsi="Times New Roman"/>
                <w:b/>
                <w:sz w:val="20"/>
              </w:rPr>
              <w:t>5</w:t>
            </w:r>
          </w:p>
        </w:tc>
        <w:tc>
          <w:tcPr>
            <w:tcW w:w="2842" w:type="dxa"/>
          </w:tcPr>
          <w:p w14:paraId="00B08417" w14:textId="77777777" w:rsidR="00645A48" w:rsidRPr="003E5EB9" w:rsidRDefault="00645A48" w:rsidP="00645A48">
            <w:pPr>
              <w:keepNext/>
              <w:suppressAutoHyphens/>
              <w:spacing w:after="220"/>
              <w:outlineLvl w:val="1"/>
              <w:rPr>
                <w:rFonts w:ascii="Times New Roman" w:eastAsia="Microsoft JhengHei" w:hAnsi="Times New Roman"/>
                <w:b/>
                <w:sz w:val="20"/>
              </w:rPr>
            </w:pPr>
          </w:p>
        </w:tc>
      </w:tr>
    </w:tbl>
    <w:p w14:paraId="2BB6A786" w14:textId="77777777" w:rsidR="00E330F5" w:rsidRPr="003E5EB9" w:rsidRDefault="00E330F5" w:rsidP="00645A48">
      <w:pPr>
        <w:pStyle w:val="NormalAshurst"/>
        <w:ind w:left="567"/>
        <w:jc w:val="center"/>
        <w:rPr>
          <w:rFonts w:ascii="Times New Roman" w:hAnsi="Times New Roman" w:cs="Times New Roman"/>
        </w:rPr>
      </w:pPr>
    </w:p>
    <w:p w14:paraId="194577C4" w14:textId="77777777" w:rsidR="00E330F5" w:rsidRPr="003E5EB9" w:rsidRDefault="0090499F" w:rsidP="006A0136">
      <w:pPr>
        <w:spacing w:after="220"/>
        <w:jc w:val="center"/>
        <w:rPr>
          <w:rFonts w:ascii="Times New Roman" w:hAnsi="Times New Roman"/>
          <w:b/>
          <w:sz w:val="20"/>
        </w:rPr>
      </w:pPr>
      <w:r w:rsidRPr="003E5EB9">
        <w:rPr>
          <w:rFonts w:ascii="Times New Roman" w:hAnsi="Times New Roman"/>
          <w:noProof/>
        </w:rPr>
        <w:drawing>
          <wp:inline distT="0" distB="0" distL="0" distR="0" wp14:anchorId="494EB6C7" wp14:editId="3D32A8C0">
            <wp:extent cx="1729740" cy="457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29740" cy="457200"/>
                    </a:xfrm>
                    <a:prstGeom prst="rect">
                      <a:avLst/>
                    </a:prstGeom>
                    <a:noFill/>
                    <a:ln>
                      <a:noFill/>
                    </a:ln>
                  </pic:spPr>
                </pic:pic>
              </a:graphicData>
            </a:graphic>
          </wp:inline>
        </w:drawing>
      </w:r>
    </w:p>
    <w:p w14:paraId="19105F41" w14:textId="77777777" w:rsidR="00E330F5" w:rsidRPr="003E5EB9" w:rsidRDefault="0090499F" w:rsidP="006A0136">
      <w:pPr>
        <w:pStyle w:val="StandardOCAshurst"/>
        <w:jc w:val="center"/>
        <w:rPr>
          <w:b/>
        </w:rPr>
      </w:pPr>
      <w:r w:rsidRPr="003E5EB9">
        <w:rPr>
          <w:b/>
        </w:rPr>
        <w:t>J.P. Morgan Structured Products B.V.</w:t>
      </w:r>
    </w:p>
    <w:p w14:paraId="2422EF8F" w14:textId="77777777" w:rsidR="00E330F5" w:rsidRPr="003E5EB9" w:rsidRDefault="0090499F" w:rsidP="006A0136">
      <w:pPr>
        <w:pStyle w:val="NormalOCAshurst"/>
        <w:jc w:val="center"/>
      </w:pPr>
      <w:r w:rsidRPr="003E5EB9">
        <w:t>(</w:t>
      </w:r>
      <w:r w:rsidRPr="003E5EB9">
        <w:rPr>
          <w:i/>
        </w:rPr>
        <w:t>incorporated with limited liability in The Netherlands</w:t>
      </w:r>
      <w:r w:rsidRPr="003E5EB9">
        <w:t>)</w:t>
      </w:r>
    </w:p>
    <w:p w14:paraId="6B4CFFD9" w14:textId="77777777" w:rsidR="00E330F5" w:rsidRPr="003E5EB9" w:rsidRDefault="0090499F" w:rsidP="006A0136">
      <w:pPr>
        <w:pStyle w:val="NormalOCAshurst"/>
        <w:jc w:val="center"/>
      </w:pPr>
      <w:r w:rsidRPr="003E5EB9">
        <w:t>as Issuer</w:t>
      </w:r>
    </w:p>
    <w:p w14:paraId="0400278D" w14:textId="77777777" w:rsidR="00E330F5" w:rsidRPr="003E5EB9" w:rsidRDefault="0090499F" w:rsidP="006A0136">
      <w:pPr>
        <w:pStyle w:val="StandardOCAshurst"/>
        <w:jc w:val="center"/>
        <w:rPr>
          <w:b/>
        </w:rPr>
      </w:pPr>
      <w:r w:rsidRPr="003E5EB9">
        <w:rPr>
          <w:b/>
        </w:rPr>
        <w:t>JPMorgan Chase Financial Company LLC</w:t>
      </w:r>
    </w:p>
    <w:p w14:paraId="14FA03E6" w14:textId="77777777" w:rsidR="00E330F5" w:rsidRPr="003E5EB9" w:rsidRDefault="0090499F" w:rsidP="006A0136">
      <w:pPr>
        <w:pStyle w:val="NormalOCAshurst"/>
        <w:jc w:val="center"/>
      </w:pPr>
      <w:r w:rsidRPr="003E5EB9">
        <w:t>(</w:t>
      </w:r>
      <w:r w:rsidRPr="003E5EB9">
        <w:rPr>
          <w:i/>
        </w:rPr>
        <w:t>incorporated with limited liability in the State of Delaware, United States of America</w:t>
      </w:r>
      <w:r w:rsidRPr="003E5EB9">
        <w:t>)</w:t>
      </w:r>
    </w:p>
    <w:p w14:paraId="56744075" w14:textId="77777777" w:rsidR="00E330F5" w:rsidRPr="003E5EB9" w:rsidRDefault="0090499F" w:rsidP="006A0136">
      <w:pPr>
        <w:pStyle w:val="NormalOCAshurst"/>
        <w:jc w:val="center"/>
      </w:pPr>
      <w:r w:rsidRPr="003E5EB9">
        <w:t>as Issuer</w:t>
      </w:r>
    </w:p>
    <w:p w14:paraId="44D9A14B" w14:textId="77777777" w:rsidR="00E330F5" w:rsidRPr="003E5EB9" w:rsidRDefault="00E330F5" w:rsidP="006A0136">
      <w:pPr>
        <w:pStyle w:val="NormalOCAshurst"/>
        <w:jc w:val="center"/>
      </w:pPr>
    </w:p>
    <w:p w14:paraId="6C0D9D73" w14:textId="77777777" w:rsidR="00E330F5" w:rsidRPr="003E5EB9" w:rsidRDefault="0090499F" w:rsidP="006A0136">
      <w:pPr>
        <w:pStyle w:val="StandardOCAshurst"/>
        <w:jc w:val="center"/>
        <w:rPr>
          <w:b/>
        </w:rPr>
      </w:pPr>
      <w:r w:rsidRPr="003E5EB9">
        <w:rPr>
          <w:b/>
        </w:rPr>
        <w:t>JPMorgan Chase Bank, N.A.</w:t>
      </w:r>
    </w:p>
    <w:p w14:paraId="615E317F" w14:textId="77777777" w:rsidR="00E330F5" w:rsidRPr="003E5EB9" w:rsidRDefault="0090499F" w:rsidP="006A0136">
      <w:pPr>
        <w:pStyle w:val="NormalOCAshurst"/>
        <w:jc w:val="center"/>
      </w:pPr>
      <w:r w:rsidRPr="003E5EB9">
        <w:t>(</w:t>
      </w:r>
      <w:r w:rsidRPr="003E5EB9">
        <w:rPr>
          <w:i/>
        </w:rPr>
        <w:t>a national banking association organised under the laws of the United States of America</w:t>
      </w:r>
      <w:r w:rsidRPr="003E5EB9">
        <w:t>)</w:t>
      </w:r>
    </w:p>
    <w:p w14:paraId="759DC48D" w14:textId="77777777" w:rsidR="00E330F5" w:rsidRPr="003E5EB9" w:rsidRDefault="0090499F" w:rsidP="006A0136">
      <w:pPr>
        <w:pStyle w:val="NormalOCAshurst"/>
        <w:spacing w:after="0"/>
        <w:jc w:val="center"/>
      </w:pPr>
      <w:r w:rsidRPr="003E5EB9">
        <w:t>as Issuer and as Guarantor in respect of Securities</w:t>
      </w:r>
    </w:p>
    <w:p w14:paraId="408A593F" w14:textId="77777777" w:rsidR="00E330F5" w:rsidRPr="003E5EB9" w:rsidRDefault="0090499F" w:rsidP="006A0136">
      <w:pPr>
        <w:pStyle w:val="NormalOCAshurst"/>
        <w:spacing w:after="0"/>
        <w:jc w:val="center"/>
      </w:pPr>
      <w:r w:rsidRPr="003E5EB9">
        <w:t>issued by</w:t>
      </w:r>
    </w:p>
    <w:p w14:paraId="168EA1D4" w14:textId="77777777" w:rsidR="00E330F5" w:rsidRPr="003E5EB9" w:rsidRDefault="0090499F" w:rsidP="006A0136">
      <w:pPr>
        <w:pStyle w:val="NormalOCAshurst"/>
        <w:jc w:val="center"/>
      </w:pPr>
      <w:r w:rsidRPr="003E5EB9">
        <w:t>J.P. Morgan Structured Products B.V.</w:t>
      </w:r>
    </w:p>
    <w:p w14:paraId="78E2F09E" w14:textId="77777777" w:rsidR="00E330F5" w:rsidRPr="003E5EB9" w:rsidRDefault="00E330F5" w:rsidP="006A0136">
      <w:pPr>
        <w:pStyle w:val="NormalOCAshurst"/>
        <w:jc w:val="center"/>
      </w:pPr>
    </w:p>
    <w:p w14:paraId="3535DCDA" w14:textId="77777777" w:rsidR="00E330F5" w:rsidRPr="003E5EB9" w:rsidRDefault="0090499F" w:rsidP="006A0136">
      <w:pPr>
        <w:pStyle w:val="StandardOCAshurst"/>
        <w:jc w:val="center"/>
        <w:rPr>
          <w:b/>
        </w:rPr>
      </w:pPr>
      <w:r w:rsidRPr="003E5EB9">
        <w:rPr>
          <w:b/>
        </w:rPr>
        <w:t>JPMorgan Chase &amp; Co.</w:t>
      </w:r>
    </w:p>
    <w:p w14:paraId="6E666FFC" w14:textId="77777777" w:rsidR="00E330F5" w:rsidRPr="003E5EB9" w:rsidRDefault="0090499F" w:rsidP="006A0136">
      <w:pPr>
        <w:pStyle w:val="NormalOCAshurst"/>
        <w:jc w:val="center"/>
      </w:pPr>
      <w:r w:rsidRPr="003E5EB9">
        <w:t>(</w:t>
      </w:r>
      <w:r w:rsidRPr="003E5EB9">
        <w:rPr>
          <w:i/>
        </w:rPr>
        <w:t>incorporated in the State of Delaware, United States of America</w:t>
      </w:r>
      <w:r w:rsidRPr="003E5EB9">
        <w:t>)</w:t>
      </w:r>
    </w:p>
    <w:p w14:paraId="6AE2F9C0" w14:textId="77777777" w:rsidR="00E330F5" w:rsidRPr="003E5EB9" w:rsidRDefault="0090499F" w:rsidP="006A0136">
      <w:pPr>
        <w:pStyle w:val="NormalOCAshurst"/>
        <w:spacing w:after="0"/>
        <w:jc w:val="center"/>
      </w:pPr>
      <w:r w:rsidRPr="003E5EB9">
        <w:t>as Issuer and as Guarantor in respect of Securities</w:t>
      </w:r>
    </w:p>
    <w:p w14:paraId="20942779" w14:textId="77777777" w:rsidR="00E330F5" w:rsidRPr="003E5EB9" w:rsidRDefault="0090499F" w:rsidP="006A0136">
      <w:pPr>
        <w:pStyle w:val="NormalOCAshurst"/>
        <w:spacing w:after="0"/>
        <w:jc w:val="center"/>
      </w:pPr>
      <w:r w:rsidRPr="003E5EB9">
        <w:t>issued by</w:t>
      </w:r>
    </w:p>
    <w:p w14:paraId="6EBB1602" w14:textId="77777777" w:rsidR="00E330F5" w:rsidRPr="003E5EB9" w:rsidRDefault="0090499F" w:rsidP="006A0136">
      <w:pPr>
        <w:pStyle w:val="NormalOCAshurst"/>
        <w:spacing w:after="0"/>
        <w:jc w:val="center"/>
      </w:pPr>
      <w:r w:rsidRPr="003E5EB9">
        <w:t>JPMorgan Chase Financial Company LLC</w:t>
      </w:r>
    </w:p>
    <w:p w14:paraId="1A484EC1" w14:textId="77777777" w:rsidR="00E330F5" w:rsidRPr="003E5EB9" w:rsidRDefault="00E330F5" w:rsidP="006A0136">
      <w:pPr>
        <w:pStyle w:val="NormalOCAshurst"/>
        <w:jc w:val="center"/>
      </w:pPr>
    </w:p>
    <w:p w14:paraId="6301F7AF" w14:textId="77777777" w:rsidR="00E330F5" w:rsidRPr="003E5EB9" w:rsidRDefault="0090499F" w:rsidP="006A0136">
      <w:pPr>
        <w:pStyle w:val="NormalOCAshurst"/>
        <w:jc w:val="center"/>
        <w:rPr>
          <w:b/>
        </w:rPr>
      </w:pPr>
      <w:r w:rsidRPr="003E5EB9">
        <w:rPr>
          <w:b/>
        </w:rPr>
        <w:t>Structured Products Programme for the issuance</w:t>
      </w:r>
    </w:p>
    <w:p w14:paraId="5D87EFE8" w14:textId="77777777" w:rsidR="00E330F5" w:rsidRPr="003E5EB9" w:rsidRDefault="0090499F" w:rsidP="006A0136">
      <w:pPr>
        <w:pStyle w:val="NormalOCAshurst"/>
        <w:jc w:val="center"/>
        <w:rPr>
          <w:b/>
        </w:rPr>
      </w:pPr>
      <w:r w:rsidRPr="003E5EB9">
        <w:rPr>
          <w:b/>
        </w:rPr>
        <w:t>of</w:t>
      </w:r>
    </w:p>
    <w:p w14:paraId="430B705F" w14:textId="77777777" w:rsidR="00E330F5" w:rsidRPr="003E5EB9" w:rsidRDefault="0090499F" w:rsidP="006A0136">
      <w:pPr>
        <w:pStyle w:val="NormalOCAshurst"/>
        <w:jc w:val="center"/>
        <w:rPr>
          <w:b/>
        </w:rPr>
      </w:pPr>
      <w:r w:rsidRPr="003E5EB9">
        <w:rPr>
          <w:b/>
        </w:rPr>
        <w:t>Notes, Warrants and Certificates</w:t>
      </w:r>
    </w:p>
    <w:p w14:paraId="28E2C53B" w14:textId="77777777" w:rsidR="00E330F5" w:rsidRPr="003E5EB9" w:rsidRDefault="00E330F5" w:rsidP="006A0136">
      <w:pPr>
        <w:pStyle w:val="NormalOCAshurst"/>
        <w:jc w:val="center"/>
      </w:pPr>
    </w:p>
    <w:p w14:paraId="1EB51E4F" w14:textId="77777777" w:rsidR="00E330F5" w:rsidRPr="003E5EB9" w:rsidRDefault="0090499F" w:rsidP="006A0136">
      <w:pPr>
        <w:pStyle w:val="NormalOCAshurst"/>
        <w:jc w:val="center"/>
        <w:rPr>
          <w:b/>
          <w:i/>
        </w:rPr>
      </w:pPr>
      <w:r w:rsidRPr="003E5EB9">
        <w:rPr>
          <w:b/>
          <w:i/>
        </w:rPr>
        <w:t>Arranger and Dealer for the Programme</w:t>
      </w:r>
    </w:p>
    <w:p w14:paraId="2558872E" w14:textId="77777777" w:rsidR="00E330F5" w:rsidRPr="003E5EB9" w:rsidRDefault="0090499F" w:rsidP="006A0136">
      <w:pPr>
        <w:pStyle w:val="NormalOCAshurst"/>
        <w:jc w:val="center"/>
        <w:rPr>
          <w:b/>
        </w:rPr>
      </w:pPr>
      <w:r w:rsidRPr="003E5EB9">
        <w:rPr>
          <w:b/>
        </w:rPr>
        <w:t>J.P. Morgan</w:t>
      </w:r>
    </w:p>
    <w:p w14:paraId="5046B851" w14:textId="77777777" w:rsidR="00E330F5" w:rsidRPr="003E5EB9" w:rsidRDefault="00E330F5" w:rsidP="006A0136">
      <w:pPr>
        <w:pStyle w:val="NormalOCAshurst"/>
        <w:jc w:val="center"/>
        <w:rPr>
          <w:b/>
        </w:rPr>
      </w:pPr>
    </w:p>
    <w:p w14:paraId="4419D5A4" w14:textId="77777777" w:rsidR="00E330F5" w:rsidRPr="003E5EB9" w:rsidRDefault="00E330F5" w:rsidP="006A0136">
      <w:pPr>
        <w:pStyle w:val="NormalOCAshurst"/>
        <w:jc w:val="center"/>
        <w:rPr>
          <w:b/>
        </w:rPr>
      </w:pPr>
    </w:p>
    <w:p w14:paraId="2E25C2BB" w14:textId="77777777" w:rsidR="00E330F5" w:rsidRPr="003E5EB9" w:rsidRDefault="00E330F5" w:rsidP="006A0136">
      <w:pPr>
        <w:pStyle w:val="NormalOCAshurst"/>
        <w:jc w:val="center"/>
        <w:rPr>
          <w:b/>
        </w:rPr>
      </w:pPr>
    </w:p>
    <w:p w14:paraId="79AC44B7" w14:textId="77777777" w:rsidR="00E330F5" w:rsidRPr="003E5EB9" w:rsidRDefault="00E330F5" w:rsidP="006A0136">
      <w:pPr>
        <w:pStyle w:val="NormalOCAshurst"/>
        <w:rPr>
          <w:b/>
        </w:rPr>
      </w:pPr>
    </w:p>
    <w:p w14:paraId="60D516F1" w14:textId="77777777" w:rsidR="00E330F5" w:rsidRPr="003E5EB9" w:rsidRDefault="00E330F5" w:rsidP="006A0136">
      <w:pPr>
        <w:autoSpaceDE w:val="0"/>
        <w:autoSpaceDN w:val="0"/>
        <w:adjustRightInd w:val="0"/>
        <w:spacing w:line="240" w:lineRule="auto"/>
        <w:rPr>
          <w:rFonts w:ascii="Times New Roman" w:hAnsi="Times New Roman"/>
          <w:sz w:val="20"/>
          <w:szCs w:val="20"/>
        </w:rPr>
        <w:sectPr w:rsidR="00E330F5" w:rsidRPr="003E5EB9" w:rsidSect="00530B13">
          <w:headerReference w:type="even" r:id="rId8"/>
          <w:headerReference w:type="default" r:id="rId9"/>
          <w:footerReference w:type="even" r:id="rId10"/>
          <w:footerReference w:type="default" r:id="rId11"/>
          <w:headerReference w:type="first" r:id="rId12"/>
          <w:footerReference w:type="first" r:id="rId13"/>
          <w:pgSz w:w="11907" w:h="16839"/>
          <w:pgMar w:top="1440" w:right="1800" w:bottom="1440" w:left="1800" w:header="708" w:footer="708" w:gutter="0"/>
          <w:paperSrc w:first="265" w:other="265"/>
          <w:cols w:space="708"/>
          <w:docGrid w:linePitch="360"/>
        </w:sectPr>
      </w:pPr>
    </w:p>
    <w:p w14:paraId="69DDFC22" w14:textId="77777777" w:rsidR="00E330F5" w:rsidRPr="003E5EB9" w:rsidRDefault="0090499F" w:rsidP="006A0136">
      <w:pPr>
        <w:pStyle w:val="NormalOCAshurst"/>
        <w:jc w:val="left"/>
        <w:rPr>
          <w:b/>
        </w:rPr>
      </w:pPr>
      <w:r w:rsidRPr="003E5EB9">
        <w:rPr>
          <w:b/>
        </w:rPr>
        <w:lastRenderedPageBreak/>
        <w:t>Supplement to the Offering Circular</w:t>
      </w:r>
    </w:p>
    <w:p w14:paraId="041E835D" w14:textId="58878573" w:rsidR="00E330F5" w:rsidRPr="003E5EB9" w:rsidRDefault="0090499F" w:rsidP="006A0136">
      <w:pPr>
        <w:pStyle w:val="NormalAshurst"/>
        <w:tabs>
          <w:tab w:val="left" w:pos="5670"/>
        </w:tabs>
        <w:rPr>
          <w:rFonts w:ascii="Times New Roman" w:hAnsi="Times New Roman" w:cs="Times New Roman"/>
          <w:sz w:val="20"/>
        </w:rPr>
      </w:pPr>
      <w:r w:rsidRPr="003E5EB9">
        <w:rPr>
          <w:rFonts w:ascii="Times New Roman" w:hAnsi="Times New Roman" w:cs="Times New Roman"/>
          <w:sz w:val="20"/>
        </w:rPr>
        <w:t>This supplement (the "</w:t>
      </w:r>
      <w:r w:rsidRPr="003E5EB9">
        <w:rPr>
          <w:rFonts w:ascii="Times New Roman" w:hAnsi="Times New Roman" w:cs="Times New Roman"/>
          <w:b/>
          <w:sz w:val="20"/>
        </w:rPr>
        <w:t>Supplement</w:t>
      </w:r>
      <w:r w:rsidRPr="003E5EB9">
        <w:rPr>
          <w:rFonts w:ascii="Times New Roman" w:hAnsi="Times New Roman" w:cs="Times New Roman"/>
          <w:sz w:val="20"/>
        </w:rPr>
        <w:t xml:space="preserve">") constitutes a supplement to the offering circular dated </w:t>
      </w:r>
      <w:r w:rsidR="00692D0A">
        <w:rPr>
          <w:rFonts w:ascii="Times New Roman" w:hAnsi="Times New Roman" w:cs="Times New Roman"/>
          <w:sz w:val="20"/>
        </w:rPr>
        <w:t>1</w:t>
      </w:r>
      <w:r w:rsidR="00032215">
        <w:rPr>
          <w:rFonts w:ascii="Times New Roman" w:hAnsi="Times New Roman" w:cs="Times New Roman"/>
          <w:sz w:val="20"/>
        </w:rPr>
        <w:t>7</w:t>
      </w:r>
      <w:r w:rsidR="00692D0A">
        <w:rPr>
          <w:rFonts w:ascii="Times New Roman" w:hAnsi="Times New Roman" w:cs="Times New Roman"/>
          <w:sz w:val="20"/>
        </w:rPr>
        <w:t xml:space="preserve"> April 202</w:t>
      </w:r>
      <w:r w:rsidR="00032215">
        <w:rPr>
          <w:rFonts w:ascii="Times New Roman" w:hAnsi="Times New Roman" w:cs="Times New Roman"/>
          <w:sz w:val="20"/>
        </w:rPr>
        <w:t>5</w:t>
      </w:r>
      <w:r w:rsidR="00F13F6A" w:rsidRPr="003E5EB9">
        <w:rPr>
          <w:rFonts w:ascii="Times New Roman" w:hAnsi="Times New Roman" w:cs="Times New Roman"/>
          <w:sz w:val="20"/>
        </w:rPr>
        <w:t xml:space="preserve"> </w:t>
      </w:r>
      <w:r w:rsidR="00183207" w:rsidRPr="00CE00E2">
        <w:rPr>
          <w:rFonts w:ascii="Times New Roman" w:hAnsi="Times New Roman" w:cs="Times New Roman"/>
          <w:sz w:val="20"/>
          <w:szCs w:val="20"/>
        </w:rPr>
        <w:t>(the "</w:t>
      </w:r>
      <w:r w:rsidR="00183207" w:rsidRPr="00CE00E2">
        <w:rPr>
          <w:rFonts w:ascii="Times New Roman" w:hAnsi="Times New Roman" w:cs="Times New Roman"/>
          <w:b/>
          <w:bCs/>
          <w:sz w:val="20"/>
          <w:szCs w:val="20"/>
        </w:rPr>
        <w:t xml:space="preserve">Original </w:t>
      </w:r>
      <w:r w:rsidR="00183207" w:rsidRPr="00CE00E2">
        <w:rPr>
          <w:rFonts w:ascii="Times New Roman" w:hAnsi="Times New Roman" w:cs="Times New Roman"/>
          <w:b/>
          <w:sz w:val="20"/>
          <w:szCs w:val="20"/>
        </w:rPr>
        <w:t>Offering Circular</w:t>
      </w:r>
      <w:r w:rsidR="00183207" w:rsidRPr="00CE00E2">
        <w:rPr>
          <w:rFonts w:ascii="Times New Roman" w:hAnsi="Times New Roman" w:cs="Times New Roman"/>
          <w:sz w:val="20"/>
          <w:szCs w:val="20"/>
        </w:rPr>
        <w:t>") as supplemented by Supplement No. 1 dated 1</w:t>
      </w:r>
      <w:r w:rsidR="00183207">
        <w:rPr>
          <w:rFonts w:ascii="Times New Roman" w:hAnsi="Times New Roman" w:cs="Times New Roman"/>
          <w:sz w:val="20"/>
          <w:szCs w:val="20"/>
        </w:rPr>
        <w:t>5</w:t>
      </w:r>
      <w:r w:rsidR="00183207" w:rsidRPr="00CE00E2">
        <w:rPr>
          <w:rFonts w:ascii="Times New Roman" w:hAnsi="Times New Roman" w:cs="Times New Roman"/>
          <w:sz w:val="20"/>
          <w:szCs w:val="20"/>
        </w:rPr>
        <w:t xml:space="preserve"> May 202</w:t>
      </w:r>
      <w:r w:rsidR="00183207">
        <w:rPr>
          <w:rFonts w:ascii="Times New Roman" w:hAnsi="Times New Roman" w:cs="Times New Roman"/>
          <w:sz w:val="20"/>
          <w:szCs w:val="20"/>
        </w:rPr>
        <w:t>5</w:t>
      </w:r>
      <w:r w:rsidR="00360997">
        <w:rPr>
          <w:rFonts w:ascii="Times New Roman" w:hAnsi="Times New Roman" w:cs="Times New Roman"/>
          <w:sz w:val="20"/>
          <w:szCs w:val="20"/>
        </w:rPr>
        <w:t xml:space="preserve"> and Supplement No. 2 dated 29 July 2025</w:t>
      </w:r>
      <w:r w:rsidR="00183207" w:rsidRPr="00CE00E2">
        <w:rPr>
          <w:rFonts w:ascii="Times New Roman" w:hAnsi="Times New Roman" w:cs="Times New Roman"/>
          <w:sz w:val="20"/>
          <w:szCs w:val="20"/>
        </w:rPr>
        <w:t xml:space="preserve"> (the Original Offering Circular as so supplemented, the "</w:t>
      </w:r>
      <w:r w:rsidR="00183207" w:rsidRPr="00CE00E2">
        <w:rPr>
          <w:rFonts w:ascii="Times New Roman" w:hAnsi="Times New Roman" w:cs="Times New Roman"/>
          <w:b/>
          <w:bCs/>
          <w:sz w:val="20"/>
          <w:szCs w:val="20"/>
        </w:rPr>
        <w:t>Offering Circular</w:t>
      </w:r>
      <w:r w:rsidR="00183207" w:rsidRPr="00CE00E2">
        <w:rPr>
          <w:rFonts w:ascii="Times New Roman" w:hAnsi="Times New Roman" w:cs="Times New Roman"/>
          <w:sz w:val="20"/>
          <w:szCs w:val="20"/>
        </w:rPr>
        <w:t xml:space="preserve">"), </w:t>
      </w:r>
      <w:r w:rsidRPr="003E5EB9">
        <w:rPr>
          <w:rFonts w:ascii="Times New Roman" w:hAnsi="Times New Roman" w:cs="Times New Roman"/>
          <w:sz w:val="20"/>
        </w:rPr>
        <w:t>prepared in connection with the Note, Warrant and Certificate Programme (the "</w:t>
      </w:r>
      <w:r w:rsidRPr="003E5EB9">
        <w:rPr>
          <w:rFonts w:ascii="Times New Roman" w:hAnsi="Times New Roman" w:cs="Times New Roman"/>
          <w:b/>
          <w:sz w:val="20"/>
        </w:rPr>
        <w:t>Programme</w:t>
      </w:r>
      <w:r w:rsidRPr="003E5EB9">
        <w:rPr>
          <w:rFonts w:ascii="Times New Roman" w:hAnsi="Times New Roman" w:cs="Times New Roman"/>
          <w:sz w:val="20"/>
        </w:rPr>
        <w:t>") of J.P. Morgan Structured Products B.V. ("</w:t>
      </w:r>
      <w:r w:rsidRPr="003E5EB9">
        <w:rPr>
          <w:rFonts w:ascii="Times New Roman" w:hAnsi="Times New Roman" w:cs="Times New Roman"/>
          <w:b/>
          <w:sz w:val="20"/>
        </w:rPr>
        <w:t>JPMSP</w:t>
      </w:r>
      <w:r w:rsidRPr="003E5EB9">
        <w:rPr>
          <w:rFonts w:ascii="Times New Roman" w:hAnsi="Times New Roman" w:cs="Times New Roman"/>
          <w:sz w:val="20"/>
        </w:rPr>
        <w:t>"), JPMorgan Chase Financial Company LLC ("</w:t>
      </w:r>
      <w:r w:rsidRPr="003E5EB9">
        <w:rPr>
          <w:rFonts w:ascii="Times New Roman" w:hAnsi="Times New Roman" w:cs="Times New Roman"/>
          <w:b/>
          <w:sz w:val="20"/>
        </w:rPr>
        <w:t>JPMCFC</w:t>
      </w:r>
      <w:r w:rsidRPr="003E5EB9">
        <w:rPr>
          <w:rFonts w:ascii="Times New Roman" w:hAnsi="Times New Roman" w:cs="Times New Roman"/>
          <w:sz w:val="20"/>
        </w:rPr>
        <w:t>"), JPMorgan Chase Bank, N.A. and JPMorgan Chase &amp; Co.</w:t>
      </w:r>
    </w:p>
    <w:p w14:paraId="21A2468D" w14:textId="77777777" w:rsidR="00E330F5" w:rsidRPr="003E5EB9" w:rsidRDefault="0090499F" w:rsidP="006A0136">
      <w:pPr>
        <w:pStyle w:val="NormalOCAshurst"/>
        <w:jc w:val="left"/>
        <w:rPr>
          <w:b/>
        </w:rPr>
      </w:pPr>
      <w:r w:rsidRPr="003E5EB9">
        <w:rPr>
          <w:b/>
        </w:rPr>
        <w:t>Status of Supplement</w:t>
      </w:r>
    </w:p>
    <w:p w14:paraId="697958CD" w14:textId="77777777" w:rsidR="00F13F6A" w:rsidRPr="003E5EB9" w:rsidRDefault="0090499F" w:rsidP="00F13F6A">
      <w:pPr>
        <w:pStyle w:val="NormalAshurst"/>
        <w:rPr>
          <w:rFonts w:ascii="Times New Roman" w:hAnsi="Times New Roman" w:cs="Times New Roman"/>
          <w:sz w:val="20"/>
        </w:rPr>
      </w:pPr>
      <w:r w:rsidRPr="003E5EB9">
        <w:rPr>
          <w:rFonts w:ascii="Times New Roman" w:hAnsi="Times New Roman" w:cs="Times New Roman"/>
          <w:sz w:val="20"/>
        </w:rPr>
        <w:t>The Supplement is supplemental to, and shall be read in conjunction with, the Offering Circular. Unless otherwise defined in this Supplement, terms defined in the Offering Circular have the same meaning when used in this Supplement.</w:t>
      </w:r>
    </w:p>
    <w:p w14:paraId="6F50988C" w14:textId="77777777" w:rsidR="00F13F6A" w:rsidRPr="003E5EB9" w:rsidRDefault="0090499F" w:rsidP="00F13F6A">
      <w:pPr>
        <w:pStyle w:val="NormalAshurst"/>
        <w:rPr>
          <w:rFonts w:ascii="Times New Roman" w:hAnsi="Times New Roman" w:cs="Times New Roman"/>
          <w:sz w:val="20"/>
        </w:rPr>
      </w:pPr>
      <w:r w:rsidRPr="003E5EB9">
        <w:rPr>
          <w:rFonts w:ascii="Times New Roman" w:hAnsi="Times New Roman" w:cs="Times New Roman"/>
          <w:sz w:val="20"/>
        </w:rPr>
        <w:t>The Supplement has been approved by Euronext Dublin pursuant to the GEM Rules and by the Luxembourg Stock Exchange pursuant to the rules and regulations of the Luxembourg Stock Exchange for the Euro MTF Market.</w:t>
      </w:r>
    </w:p>
    <w:p w14:paraId="01F9182B" w14:textId="7138AB8C" w:rsidR="00E330F5" w:rsidRPr="003E5EB9" w:rsidRDefault="0090499F" w:rsidP="000D792E">
      <w:pPr>
        <w:pStyle w:val="NormalAshurst"/>
        <w:rPr>
          <w:rFonts w:ascii="Times New Roman" w:hAnsi="Times New Roman" w:cs="Times New Roman"/>
          <w:sz w:val="20"/>
        </w:rPr>
      </w:pPr>
      <w:r w:rsidRPr="003E5EB9">
        <w:rPr>
          <w:rFonts w:ascii="Times New Roman" w:hAnsi="Times New Roman" w:cs="Times New Roman"/>
          <w:sz w:val="20"/>
        </w:rPr>
        <w:t>The Supplement has been filed with SIX Exchange Regulation Ltd as the competent reviewing body (the "</w:t>
      </w:r>
      <w:r w:rsidRPr="003E5EB9">
        <w:rPr>
          <w:rFonts w:ascii="Times New Roman" w:hAnsi="Times New Roman" w:cs="Times New Roman"/>
          <w:b/>
          <w:bCs/>
          <w:sz w:val="20"/>
        </w:rPr>
        <w:t>Reviewing Body</w:t>
      </w:r>
      <w:r w:rsidRPr="003E5EB9">
        <w:rPr>
          <w:rFonts w:ascii="Times New Roman" w:hAnsi="Times New Roman" w:cs="Times New Roman"/>
          <w:sz w:val="20"/>
        </w:rPr>
        <w:t>") under the Swiss Financial Services Act ("</w:t>
      </w:r>
      <w:r w:rsidRPr="003E5EB9">
        <w:rPr>
          <w:rFonts w:ascii="Times New Roman" w:hAnsi="Times New Roman" w:cs="Times New Roman"/>
          <w:b/>
          <w:bCs/>
          <w:sz w:val="20"/>
        </w:rPr>
        <w:t>FinSA</w:t>
      </w:r>
      <w:r w:rsidRPr="003E5EB9">
        <w:rPr>
          <w:rFonts w:ascii="Times New Roman" w:hAnsi="Times New Roman" w:cs="Times New Roman"/>
          <w:sz w:val="20"/>
        </w:rPr>
        <w:t xml:space="preserve">") on </w:t>
      </w:r>
      <w:r w:rsidR="00D81DB4">
        <w:rPr>
          <w:rFonts w:ascii="Times New Roman" w:hAnsi="Times New Roman" w:cs="Times New Roman"/>
          <w:sz w:val="20"/>
        </w:rPr>
        <w:t>6</w:t>
      </w:r>
      <w:r w:rsidR="00360997">
        <w:rPr>
          <w:rFonts w:ascii="Times New Roman" w:hAnsi="Times New Roman" w:cs="Times New Roman"/>
          <w:bCs/>
          <w:sz w:val="20"/>
        </w:rPr>
        <w:t xml:space="preserve"> August</w:t>
      </w:r>
      <w:r w:rsidR="00692D0A">
        <w:rPr>
          <w:rFonts w:ascii="Times New Roman" w:hAnsi="Times New Roman" w:cs="Times New Roman"/>
          <w:bCs/>
          <w:sz w:val="20"/>
        </w:rPr>
        <w:t xml:space="preserve"> 202</w:t>
      </w:r>
      <w:r w:rsidR="00032215">
        <w:rPr>
          <w:rFonts w:ascii="Times New Roman" w:hAnsi="Times New Roman" w:cs="Times New Roman"/>
          <w:bCs/>
          <w:sz w:val="20"/>
        </w:rPr>
        <w:t>5</w:t>
      </w:r>
      <w:r w:rsidRPr="000D792E">
        <w:rPr>
          <w:rFonts w:ascii="Times New Roman" w:hAnsi="Times New Roman" w:cs="Times New Roman"/>
          <w:bCs/>
          <w:sz w:val="20"/>
        </w:rPr>
        <w:t>.</w:t>
      </w:r>
    </w:p>
    <w:p w14:paraId="4C20CCE9" w14:textId="77777777" w:rsidR="00E330F5" w:rsidRPr="003E5EB9" w:rsidRDefault="0090499F" w:rsidP="006A0136">
      <w:pPr>
        <w:pStyle w:val="NormalOCAshurst"/>
        <w:jc w:val="left"/>
        <w:rPr>
          <w:b/>
        </w:rPr>
      </w:pPr>
      <w:r w:rsidRPr="003E5EB9">
        <w:rPr>
          <w:b/>
        </w:rPr>
        <w:t>Responsibility</w:t>
      </w:r>
    </w:p>
    <w:p w14:paraId="2161F5B1" w14:textId="77777777" w:rsidR="00F13F6A" w:rsidRPr="003E5EB9" w:rsidRDefault="0090499F" w:rsidP="00F13F6A">
      <w:pPr>
        <w:pStyle w:val="NormalAshurst"/>
        <w:rPr>
          <w:rFonts w:ascii="Times New Roman" w:hAnsi="Times New Roman" w:cs="Times New Roman"/>
          <w:sz w:val="20"/>
        </w:rPr>
      </w:pPr>
      <w:r w:rsidRPr="003E5EB9">
        <w:rPr>
          <w:rFonts w:ascii="Times New Roman" w:hAnsi="Times New Roman" w:cs="Times New Roman"/>
          <w:sz w:val="20"/>
        </w:rPr>
        <w:t>Each of JPMSP, JPMCFC, JPMorgan Chase Bank, N.A. and JPMorgan Chase &amp; Co. accepts responsibility for the information contained in this Supplement and to the best of the knowledge of JPMSP, JPMCFC, JPMorgan Chase Bank, N.A. and JPMorgan Chase &amp; Co. (each having taken all reasonable care to ensure that such is the case), the information contained in this Supplement is in accordance with the facts and does not omit anything likely to affect the import of such information.</w:t>
      </w:r>
    </w:p>
    <w:p w14:paraId="461B591F" w14:textId="77777777" w:rsidR="00E330F5" w:rsidRPr="003E5EB9" w:rsidRDefault="0090499F" w:rsidP="006A0136">
      <w:pPr>
        <w:pStyle w:val="NormalAshurst"/>
        <w:rPr>
          <w:rFonts w:ascii="Times New Roman" w:hAnsi="Times New Roman" w:cs="Times New Roman"/>
          <w:b/>
          <w:sz w:val="20"/>
        </w:rPr>
      </w:pPr>
      <w:r w:rsidRPr="003E5EB9">
        <w:rPr>
          <w:rFonts w:ascii="Times New Roman" w:hAnsi="Times New Roman" w:cs="Times New Roman"/>
          <w:b/>
          <w:sz w:val="20"/>
        </w:rPr>
        <w:t>Purpose of Supplement</w:t>
      </w:r>
    </w:p>
    <w:p w14:paraId="2236E197" w14:textId="7C0A43F1" w:rsidR="000D0C45" w:rsidRPr="005B3787" w:rsidRDefault="00183207" w:rsidP="000D0C45">
      <w:pPr>
        <w:pStyle w:val="NormalAshurst"/>
        <w:rPr>
          <w:rFonts w:ascii="Times New Roman" w:hAnsi="Times New Roman"/>
          <w:sz w:val="20"/>
        </w:rPr>
      </w:pPr>
      <w:r w:rsidRPr="00CE00E2">
        <w:rPr>
          <w:rFonts w:ascii="Times New Roman" w:hAnsi="Times New Roman"/>
          <w:sz w:val="20"/>
          <w:szCs w:val="20"/>
        </w:rPr>
        <w:t>The purpose of this Supplement is to</w:t>
      </w:r>
      <w:r w:rsidR="001A450B">
        <w:rPr>
          <w:rFonts w:ascii="Times New Roman" w:hAnsi="Times New Roman"/>
          <w:sz w:val="20"/>
          <w:szCs w:val="20"/>
        </w:rPr>
        <w:t xml:space="preserve"> (i)</w:t>
      </w:r>
      <w:r w:rsidR="00360997">
        <w:rPr>
          <w:rFonts w:ascii="Times New Roman" w:hAnsi="Times New Roman"/>
          <w:sz w:val="20"/>
          <w:szCs w:val="20"/>
        </w:rPr>
        <w:t xml:space="preserve"> remove the</w:t>
      </w:r>
      <w:r w:rsidR="001D3EE4">
        <w:rPr>
          <w:rFonts w:ascii="Times New Roman" w:hAnsi="Times New Roman"/>
          <w:sz w:val="20"/>
          <w:szCs w:val="20"/>
        </w:rPr>
        <w:t xml:space="preserve"> references to the</w:t>
      </w:r>
      <w:r w:rsidR="00360997">
        <w:rPr>
          <w:rFonts w:ascii="Times New Roman" w:hAnsi="Times New Roman"/>
          <w:sz w:val="20"/>
          <w:szCs w:val="20"/>
        </w:rPr>
        <w:t xml:space="preserve"> programme limit in respect of Notes issued under the Programme by</w:t>
      </w:r>
      <w:r w:rsidR="00092A37">
        <w:rPr>
          <w:rFonts w:ascii="Times New Roman" w:hAnsi="Times New Roman"/>
          <w:sz w:val="20"/>
          <w:szCs w:val="20"/>
        </w:rPr>
        <w:t xml:space="preserve"> amend</w:t>
      </w:r>
      <w:r w:rsidR="00360997">
        <w:rPr>
          <w:rFonts w:ascii="Times New Roman" w:hAnsi="Times New Roman"/>
          <w:sz w:val="20"/>
          <w:szCs w:val="20"/>
        </w:rPr>
        <w:t>ing</w:t>
      </w:r>
      <w:r w:rsidR="00092A37">
        <w:rPr>
          <w:rFonts w:ascii="Times New Roman" w:hAnsi="Times New Roman"/>
          <w:sz w:val="20"/>
          <w:szCs w:val="20"/>
        </w:rPr>
        <w:t xml:space="preserve"> and supplement</w:t>
      </w:r>
      <w:r w:rsidR="00360997">
        <w:rPr>
          <w:rFonts w:ascii="Times New Roman" w:hAnsi="Times New Roman"/>
          <w:sz w:val="20"/>
          <w:szCs w:val="20"/>
        </w:rPr>
        <w:t>ing</w:t>
      </w:r>
      <w:r w:rsidR="00092A37">
        <w:rPr>
          <w:rFonts w:ascii="Times New Roman" w:hAnsi="Times New Roman"/>
          <w:sz w:val="20"/>
          <w:szCs w:val="20"/>
        </w:rPr>
        <w:t xml:space="preserve"> the information in the sections entitled </w:t>
      </w:r>
      <w:r w:rsidR="00360997">
        <w:rPr>
          <w:rFonts w:ascii="Times New Roman" w:hAnsi="Times New Roman"/>
          <w:sz w:val="20"/>
          <w:szCs w:val="20"/>
        </w:rPr>
        <w:t>"General Description of the Programme", "</w:t>
      </w:r>
      <w:r w:rsidR="00360997" w:rsidRPr="00360997">
        <w:rPr>
          <w:rFonts w:ascii="Times New Roman" w:hAnsi="Times New Roman"/>
          <w:sz w:val="20"/>
          <w:szCs w:val="20"/>
        </w:rPr>
        <w:t xml:space="preserve">Limitations of the JPMorgan Chase Bank, N.A. Guarantee and Form of JPMorgan Chase Bank, N.A. Guarantee" and </w:t>
      </w:r>
      <w:r w:rsidR="00360997">
        <w:rPr>
          <w:rFonts w:ascii="Times New Roman" w:hAnsi="Times New Roman"/>
          <w:sz w:val="20"/>
          <w:szCs w:val="20"/>
        </w:rPr>
        <w:t>"</w:t>
      </w:r>
      <w:r w:rsidR="00360997" w:rsidRPr="00360997">
        <w:rPr>
          <w:rFonts w:ascii="Times New Roman" w:hAnsi="Times New Roman"/>
          <w:sz w:val="20"/>
          <w:szCs w:val="20"/>
        </w:rPr>
        <w:t>Limitations of the JPMorgan Chase &amp; Co. Guarantee and Form of JPMorgan Chase &amp; Co. Guarantee"</w:t>
      </w:r>
      <w:r w:rsidR="001A450B">
        <w:rPr>
          <w:rFonts w:ascii="Times New Roman" w:hAnsi="Times New Roman"/>
          <w:sz w:val="20"/>
          <w:szCs w:val="20"/>
        </w:rPr>
        <w:t xml:space="preserve"> and (ii) amend and supplement the information in the section entitled "Subscription and Sale"</w:t>
      </w:r>
      <w:r w:rsidR="0090499F" w:rsidRPr="00360997">
        <w:rPr>
          <w:rFonts w:ascii="Times New Roman" w:hAnsi="Times New Roman"/>
          <w:sz w:val="20"/>
          <w:szCs w:val="20"/>
        </w:rPr>
        <w:t>.</w:t>
      </w:r>
    </w:p>
    <w:p w14:paraId="2E7923D7" w14:textId="77777777" w:rsidR="009B756E" w:rsidRPr="003E5EB9" w:rsidRDefault="009B756E" w:rsidP="001D411D">
      <w:pPr>
        <w:pStyle w:val="NormalAshurst"/>
        <w:rPr>
          <w:rFonts w:ascii="Times New Roman" w:hAnsi="Times New Roman" w:cs="Times New Roman"/>
          <w:sz w:val="20"/>
        </w:rPr>
        <w:sectPr w:rsidR="009B756E" w:rsidRPr="003E5EB9" w:rsidSect="00BC417C">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440" w:right="1440" w:bottom="1440" w:left="1440" w:header="720" w:footer="720" w:gutter="0"/>
          <w:cols w:space="720"/>
          <w:docGrid w:linePitch="245"/>
        </w:sectPr>
      </w:pPr>
    </w:p>
    <w:p w14:paraId="7860BB9B" w14:textId="77777777" w:rsidR="000D0C45" w:rsidRPr="005B3787" w:rsidRDefault="0090499F" w:rsidP="000D0C45">
      <w:pPr>
        <w:pStyle w:val="NormalAshurst"/>
        <w:rPr>
          <w:rFonts w:ascii="Times New Roman" w:hAnsi="Times New Roman"/>
          <w:b/>
          <w:sz w:val="20"/>
        </w:rPr>
      </w:pPr>
      <w:r w:rsidRPr="005B3787">
        <w:rPr>
          <w:rFonts w:ascii="Times New Roman" w:hAnsi="Times New Roman"/>
          <w:b/>
          <w:sz w:val="20"/>
        </w:rPr>
        <w:lastRenderedPageBreak/>
        <w:t>Information being supplemented</w:t>
      </w:r>
    </w:p>
    <w:p w14:paraId="1924A269" w14:textId="02874DE1" w:rsidR="00F02637" w:rsidRDefault="00F02637" w:rsidP="00F02637">
      <w:pPr>
        <w:pStyle w:val="NormalAshurst"/>
        <w:ind w:left="567" w:hanging="567"/>
        <w:rPr>
          <w:rFonts w:ascii="Times New Roman" w:hAnsi="Times New Roman"/>
          <w:b/>
          <w:sz w:val="20"/>
        </w:rPr>
      </w:pPr>
      <w:r>
        <w:rPr>
          <w:rFonts w:ascii="Times New Roman" w:hAnsi="Times New Roman"/>
          <w:b/>
          <w:sz w:val="20"/>
        </w:rPr>
        <w:t>I</w:t>
      </w:r>
      <w:r w:rsidRPr="005B3787">
        <w:rPr>
          <w:rFonts w:ascii="Times New Roman" w:hAnsi="Times New Roman"/>
          <w:b/>
          <w:sz w:val="20"/>
        </w:rPr>
        <w:t>.</w:t>
      </w:r>
      <w:r w:rsidRPr="005B3787">
        <w:rPr>
          <w:rFonts w:ascii="Times New Roman" w:hAnsi="Times New Roman"/>
          <w:b/>
          <w:sz w:val="20"/>
        </w:rPr>
        <w:tab/>
      </w:r>
      <w:r>
        <w:rPr>
          <w:rFonts w:ascii="Times New Roman" w:hAnsi="Times New Roman"/>
          <w:b/>
          <w:sz w:val="20"/>
        </w:rPr>
        <w:t xml:space="preserve">Amendments to the </w:t>
      </w:r>
      <w:r w:rsidR="00360997">
        <w:rPr>
          <w:rFonts w:ascii="Times New Roman" w:hAnsi="Times New Roman"/>
          <w:b/>
          <w:sz w:val="20"/>
        </w:rPr>
        <w:t>General Description of the Programme</w:t>
      </w:r>
    </w:p>
    <w:p w14:paraId="56DA8360" w14:textId="1F35A5AD" w:rsidR="002070B6" w:rsidRPr="00CE64E3" w:rsidRDefault="00CE64E3" w:rsidP="002070B6">
      <w:pPr>
        <w:pStyle w:val="NormalOCAshurst"/>
        <w:ind w:left="567"/>
        <w:rPr>
          <w:bCs/>
        </w:rPr>
      </w:pPr>
      <w:r w:rsidRPr="00CE64E3">
        <w:rPr>
          <w:bCs/>
        </w:rPr>
        <w:t>Sub-section 6 entitled</w:t>
      </w:r>
      <w:r w:rsidR="002070B6" w:rsidRPr="00CE64E3">
        <w:rPr>
          <w:bCs/>
        </w:rPr>
        <w:t xml:space="preserve"> </w:t>
      </w:r>
      <w:r w:rsidRPr="00CE64E3">
        <w:rPr>
          <w:bCs/>
        </w:rPr>
        <w:t>"</w:t>
      </w:r>
      <w:r w:rsidR="002070B6" w:rsidRPr="00CE64E3">
        <w:rPr>
          <w:bCs/>
        </w:rPr>
        <w:t>Pro</w:t>
      </w:r>
      <w:r w:rsidRPr="00CE64E3">
        <w:rPr>
          <w:bCs/>
        </w:rPr>
        <w:t>gramme limit (in respect of Notes only)" in the section entitled "General Description of the Programme"</w:t>
      </w:r>
      <w:r w:rsidR="002070B6" w:rsidRPr="00CE64E3">
        <w:rPr>
          <w:bCs/>
        </w:rPr>
        <w:t xml:space="preserve"> on page </w:t>
      </w:r>
      <w:r w:rsidRPr="00CE64E3">
        <w:rPr>
          <w:bCs/>
        </w:rPr>
        <w:t>178</w:t>
      </w:r>
      <w:r w:rsidR="002070B6" w:rsidRPr="00CE64E3">
        <w:rPr>
          <w:bCs/>
        </w:rPr>
        <w:t xml:space="preserve"> of the Original Offering Circular shall be deleted </w:t>
      </w:r>
      <w:r w:rsidRPr="00CE64E3">
        <w:rPr>
          <w:bCs/>
        </w:rPr>
        <w:t>its entirety.</w:t>
      </w:r>
    </w:p>
    <w:p w14:paraId="2D77589B" w14:textId="2D041E2E" w:rsidR="00F02637" w:rsidRDefault="00F02637" w:rsidP="00F02637">
      <w:pPr>
        <w:pStyle w:val="NormalAshurst"/>
        <w:ind w:left="567" w:hanging="567"/>
        <w:rPr>
          <w:rFonts w:ascii="Times New Roman" w:hAnsi="Times New Roman"/>
          <w:b/>
          <w:sz w:val="20"/>
        </w:rPr>
      </w:pPr>
      <w:r w:rsidRPr="005B3787">
        <w:rPr>
          <w:rFonts w:ascii="Times New Roman" w:hAnsi="Times New Roman"/>
          <w:b/>
          <w:sz w:val="20"/>
        </w:rPr>
        <w:t>I</w:t>
      </w:r>
      <w:r>
        <w:rPr>
          <w:rFonts w:ascii="Times New Roman" w:hAnsi="Times New Roman"/>
          <w:b/>
          <w:sz w:val="20"/>
        </w:rPr>
        <w:t>I</w:t>
      </w:r>
      <w:r w:rsidRPr="005B3787">
        <w:rPr>
          <w:rFonts w:ascii="Times New Roman" w:hAnsi="Times New Roman"/>
          <w:b/>
          <w:sz w:val="20"/>
        </w:rPr>
        <w:t>.</w:t>
      </w:r>
      <w:r w:rsidRPr="005B3787">
        <w:rPr>
          <w:rFonts w:ascii="Times New Roman" w:hAnsi="Times New Roman"/>
          <w:b/>
          <w:sz w:val="20"/>
        </w:rPr>
        <w:tab/>
      </w:r>
      <w:r>
        <w:rPr>
          <w:rFonts w:ascii="Times New Roman" w:hAnsi="Times New Roman"/>
          <w:b/>
          <w:sz w:val="20"/>
        </w:rPr>
        <w:t>Amendments to</w:t>
      </w:r>
      <w:r w:rsidR="002070B6">
        <w:rPr>
          <w:rFonts w:ascii="Times New Roman" w:hAnsi="Times New Roman"/>
          <w:b/>
          <w:sz w:val="20"/>
        </w:rPr>
        <w:t xml:space="preserve"> </w:t>
      </w:r>
      <w:r w:rsidR="00CE64E3" w:rsidRPr="00CE64E3">
        <w:rPr>
          <w:rFonts w:ascii="Times New Roman" w:hAnsi="Times New Roman"/>
          <w:b/>
          <w:sz w:val="20"/>
        </w:rPr>
        <w:t>Limitations of the JPMorgan Chase Bank, N.A. Guarantee and Form of JPMorgan Chase Bank, N.A. Guarantee</w:t>
      </w:r>
    </w:p>
    <w:p w14:paraId="0DCB01AF" w14:textId="77270F85" w:rsidR="00FD0E8A" w:rsidRPr="00FD0E8A" w:rsidRDefault="00FD0E8A" w:rsidP="00CE64E3">
      <w:pPr>
        <w:pStyle w:val="NormalAshurst"/>
        <w:ind w:left="567"/>
        <w:rPr>
          <w:rFonts w:ascii="Times New Roman" w:hAnsi="Times New Roman" w:cs="Times New Roman"/>
          <w:bCs/>
          <w:sz w:val="20"/>
          <w:szCs w:val="20"/>
        </w:rPr>
      </w:pPr>
      <w:r w:rsidRPr="00FD0E8A">
        <w:rPr>
          <w:rFonts w:ascii="Times New Roman" w:hAnsi="Times New Roman"/>
          <w:bCs/>
          <w:sz w:val="20"/>
        </w:rPr>
        <w:t xml:space="preserve">The form of guarantee given by JPMorgan Chase </w:t>
      </w:r>
      <w:r>
        <w:rPr>
          <w:rFonts w:ascii="Times New Roman" w:hAnsi="Times New Roman"/>
          <w:bCs/>
          <w:sz w:val="20"/>
        </w:rPr>
        <w:t>Bank, N.A.</w:t>
      </w:r>
      <w:r w:rsidRPr="00FD0E8A">
        <w:rPr>
          <w:rFonts w:ascii="Times New Roman" w:hAnsi="Times New Roman"/>
          <w:bCs/>
          <w:sz w:val="20"/>
        </w:rPr>
        <w:t xml:space="preserve"> in respect of Securities issued </w:t>
      </w:r>
      <w:r>
        <w:rPr>
          <w:rFonts w:ascii="Times New Roman" w:hAnsi="Times New Roman"/>
          <w:bCs/>
          <w:sz w:val="20"/>
        </w:rPr>
        <w:t>J.P. Morgan Structured Products B.V.</w:t>
      </w:r>
      <w:r w:rsidRPr="00FD0E8A">
        <w:rPr>
          <w:rFonts w:ascii="Times New Roman" w:hAnsi="Times New Roman"/>
          <w:bCs/>
          <w:sz w:val="20"/>
        </w:rPr>
        <w:t xml:space="preserve"> on pages 60</w:t>
      </w:r>
      <w:r>
        <w:rPr>
          <w:rFonts w:ascii="Times New Roman" w:hAnsi="Times New Roman"/>
          <w:bCs/>
          <w:sz w:val="20"/>
        </w:rPr>
        <w:t>2 to 606</w:t>
      </w:r>
      <w:r w:rsidRPr="00FD0E8A">
        <w:rPr>
          <w:rFonts w:ascii="Times New Roman" w:hAnsi="Times New Roman"/>
          <w:bCs/>
          <w:sz w:val="20"/>
        </w:rPr>
        <w:t xml:space="preserve"> of the</w:t>
      </w:r>
      <w:r>
        <w:rPr>
          <w:rFonts w:ascii="Times New Roman" w:hAnsi="Times New Roman"/>
          <w:bCs/>
          <w:sz w:val="20"/>
        </w:rPr>
        <w:t xml:space="preserve"> Original</w:t>
      </w:r>
      <w:r w:rsidRPr="00FD0E8A">
        <w:rPr>
          <w:rFonts w:ascii="Times New Roman" w:hAnsi="Times New Roman"/>
          <w:bCs/>
          <w:sz w:val="20"/>
        </w:rPr>
        <w:t xml:space="preserve"> Offering Circular shall be deleted</w:t>
      </w:r>
      <w:r>
        <w:rPr>
          <w:rFonts w:ascii="Times New Roman" w:hAnsi="Times New Roman"/>
          <w:bCs/>
          <w:sz w:val="20"/>
        </w:rPr>
        <w:t xml:space="preserve"> in its </w:t>
      </w:r>
      <w:r w:rsidRPr="00FD0E8A">
        <w:rPr>
          <w:rFonts w:ascii="Times New Roman" w:hAnsi="Times New Roman" w:cs="Times New Roman"/>
          <w:bCs/>
          <w:sz w:val="20"/>
          <w:szCs w:val="20"/>
        </w:rPr>
        <w:t>entirety and replaced with the following</w:t>
      </w:r>
      <w:r w:rsidR="00F73E12">
        <w:rPr>
          <w:rFonts w:ascii="Times New Roman" w:hAnsi="Times New Roman" w:cs="Times New Roman"/>
          <w:bCs/>
          <w:sz w:val="20"/>
          <w:szCs w:val="20"/>
        </w:rPr>
        <w:t>:</w:t>
      </w:r>
    </w:p>
    <w:p w14:paraId="0A417E8A" w14:textId="03F52B3C" w:rsidR="00FD0E8A" w:rsidRPr="00FD0E8A" w:rsidRDefault="00FD0E8A" w:rsidP="00FD0E8A">
      <w:pPr>
        <w:pStyle w:val="MainHeadingOCAshurst"/>
        <w:rPr>
          <w:rFonts w:ascii="Times New Roman" w:hAnsi="Times New Roman"/>
          <w:caps w:val="0"/>
        </w:rPr>
      </w:pPr>
      <w:r>
        <w:rPr>
          <w:rFonts w:ascii="Times New Roman" w:hAnsi="Times New Roman"/>
          <w:b w:val="0"/>
          <w:bCs/>
          <w:caps w:val="0"/>
        </w:rPr>
        <w:t>"</w:t>
      </w:r>
      <w:r w:rsidRPr="00FD0E8A">
        <w:rPr>
          <w:rFonts w:ascii="Times New Roman" w:hAnsi="Times New Roman"/>
          <w:caps w:val="0"/>
        </w:rPr>
        <w:t>JPMORGAN CHASE BANK, N.A. GUARANTEE</w:t>
      </w:r>
    </w:p>
    <w:p w14:paraId="0DA01FEF" w14:textId="51C160F5" w:rsidR="00FD0E8A" w:rsidRPr="00FD0E8A" w:rsidRDefault="00FD0E8A" w:rsidP="00FD0E8A">
      <w:pPr>
        <w:pStyle w:val="NormalOCAshurst"/>
        <w:ind w:left="567"/>
      </w:pPr>
      <w:r w:rsidRPr="00FD0E8A">
        <w:rPr>
          <w:b/>
          <w:caps/>
        </w:rPr>
        <w:t>THIS GUARANTEE</w:t>
      </w:r>
      <w:r w:rsidRPr="00FD0E8A">
        <w:t xml:space="preserve"> is made by way of deed on </w:t>
      </w:r>
      <w:bookmarkStart w:id="1" w:name="_Hlk191396565"/>
      <w:r w:rsidR="00D81DB4">
        <w:t>6</w:t>
      </w:r>
      <w:r w:rsidRPr="00FD0E8A">
        <w:t xml:space="preserve"> August 2025 </w:t>
      </w:r>
      <w:bookmarkEnd w:id="1"/>
      <w:r w:rsidRPr="00FD0E8A">
        <w:t xml:space="preserve">by JPMorgan Chase Bank, N.A., a national banking association organised under the federal laws of the United States of America (the </w:t>
      </w:r>
      <w:r w:rsidRPr="00FD0E8A">
        <w:rPr>
          <w:b/>
        </w:rPr>
        <w:t>"Guarantor"</w:t>
      </w:r>
      <w:r w:rsidRPr="00FD0E8A">
        <w:t>), in favour of the Beneficiaries (as defined below).</w:t>
      </w:r>
    </w:p>
    <w:p w14:paraId="52F5BA99" w14:textId="77777777" w:rsidR="00FD0E8A" w:rsidRPr="00FD0E8A" w:rsidRDefault="00FD0E8A" w:rsidP="00FD0E8A">
      <w:pPr>
        <w:pStyle w:val="NormalOCAshurst"/>
        <w:ind w:left="567"/>
      </w:pPr>
      <w:r w:rsidRPr="00FD0E8A">
        <w:t>WHEREAS:</w:t>
      </w:r>
    </w:p>
    <w:p w14:paraId="38046C91" w14:textId="6DBB6F32" w:rsidR="00FD0E8A" w:rsidRPr="00FD0E8A" w:rsidRDefault="00FD0E8A" w:rsidP="00FD0E8A">
      <w:pPr>
        <w:pStyle w:val="NormalOCAshurst"/>
        <w:ind w:left="1276" w:hanging="709"/>
      </w:pPr>
      <w:r w:rsidRPr="00FD0E8A">
        <w:t>(A)</w:t>
      </w:r>
      <w:r w:rsidRPr="00FD0E8A">
        <w:tab/>
        <w:t>J.P. Morgan Structured Products B.V., a private company with limited liability (</w:t>
      </w:r>
      <w:r w:rsidRPr="00FD0E8A">
        <w:rPr>
          <w:i/>
        </w:rPr>
        <w:t>besloten vennootschap met beperkte aansprakelijkheid</w:t>
      </w:r>
      <w:r w:rsidRPr="00FD0E8A">
        <w:t xml:space="preserve">) incorporated under the laws of The Netherlands (the </w:t>
      </w:r>
      <w:r w:rsidRPr="00FD0E8A">
        <w:rPr>
          <w:b/>
        </w:rPr>
        <w:t>"Obligor"</w:t>
      </w:r>
      <w:r w:rsidRPr="00FD0E8A">
        <w:t xml:space="preserve">), may from time to time issue Notes, Warrants and Certificates (each as defined in the Agency Agreement  described below) under the Structured Products Programme for the issuance of Notes, Warrants and Certificates (the </w:t>
      </w:r>
      <w:r w:rsidRPr="00FD0E8A">
        <w:rPr>
          <w:b/>
        </w:rPr>
        <w:t>"Programme"</w:t>
      </w:r>
      <w:r w:rsidRPr="00FD0E8A">
        <w:rPr>
          <w:color w:val="000000"/>
        </w:rPr>
        <w:t xml:space="preserve"> and such Notes, Warrants and Certificates, together, the </w:t>
      </w:r>
      <w:r w:rsidRPr="00FD0E8A">
        <w:rPr>
          <w:b/>
          <w:color w:val="000000"/>
        </w:rPr>
        <w:t>"Non- South African Securities"</w:t>
      </w:r>
      <w:r w:rsidRPr="00FD0E8A">
        <w:t xml:space="preserve">). The Non-South African Securities shall be issued pursuant to an amended and restated agency agreement dated 17 April 2025, as amended by a supplemental agency agreement dated </w:t>
      </w:r>
      <w:r w:rsidR="00D81DB4">
        <w:t>6</w:t>
      </w:r>
      <w:r w:rsidRPr="00FD0E8A">
        <w:t xml:space="preserve"> August 2025 among the Obligor, the Guarantor, JPMorgan Chase &amp; Co., The Bank of New York Mellon, London Branch, The Bank of New York Mellon S.A./N.V., Luxembourg Branch, J.P. Morgan Securities plc (</w:t>
      </w:r>
      <w:r w:rsidRPr="00FD0E8A">
        <w:rPr>
          <w:b/>
        </w:rPr>
        <w:t>"JPMS plc"</w:t>
      </w:r>
      <w:r w:rsidRPr="00FD0E8A">
        <w:t xml:space="preserve">), Skandinaviska Enskilda Banken AB (publ), BNP Paribas S.A., UBS AG and UBS Switzerland AG as may be amended and/or restated and/or replaced from time to time (the </w:t>
      </w:r>
      <w:r w:rsidRPr="00FD0E8A">
        <w:rPr>
          <w:b/>
        </w:rPr>
        <w:t>"Programme Agency Agreement"</w:t>
      </w:r>
      <w:r w:rsidRPr="00FD0E8A">
        <w:t>).</w:t>
      </w:r>
    </w:p>
    <w:p w14:paraId="1CC5C4E7" w14:textId="77777777" w:rsidR="00FD0E8A" w:rsidRPr="00FD0E8A" w:rsidRDefault="00FD0E8A" w:rsidP="00FD0E8A">
      <w:pPr>
        <w:pStyle w:val="NormalOCAshurst"/>
        <w:ind w:left="1276" w:hanging="709"/>
        <w:rPr>
          <w:color w:val="000000"/>
        </w:rPr>
      </w:pPr>
      <w:r w:rsidRPr="00FD0E8A">
        <w:t>(B)</w:t>
      </w:r>
      <w:r w:rsidRPr="00FD0E8A">
        <w:tab/>
      </w:r>
      <w:r w:rsidRPr="00FD0E8A">
        <w:rPr>
          <w:color w:val="000000"/>
        </w:rPr>
        <w:t>In addition to the Non-South African Securities issued by the Obligor under the Programme pursuant to the Programme Agency Agreement, the Obligor may also issue Notes and Certificates (but not Warrants) under the Programme from time to time which are specified in the relevant Pricing Supplement as "South African Notes" (</w:t>
      </w:r>
      <w:r w:rsidRPr="00FD0E8A">
        <w:rPr>
          <w:b/>
          <w:color w:val="000000"/>
        </w:rPr>
        <w:t>"South African Notes"</w:t>
      </w:r>
      <w:r w:rsidRPr="00FD0E8A">
        <w:rPr>
          <w:color w:val="000000"/>
        </w:rPr>
        <w:t>) or "South African Certificates" (</w:t>
      </w:r>
      <w:r w:rsidRPr="00FD0E8A">
        <w:rPr>
          <w:b/>
          <w:color w:val="000000"/>
        </w:rPr>
        <w:t>"South African Certificates"</w:t>
      </w:r>
      <w:r w:rsidRPr="00FD0E8A">
        <w:rPr>
          <w:color w:val="000000"/>
        </w:rPr>
        <w:t xml:space="preserve"> and, together with South African Notes, </w:t>
      </w:r>
      <w:r w:rsidRPr="00FD0E8A">
        <w:rPr>
          <w:b/>
          <w:color w:val="000000"/>
        </w:rPr>
        <w:t>"South African Securities"</w:t>
      </w:r>
      <w:r w:rsidRPr="00FD0E8A">
        <w:rPr>
          <w:color w:val="000000"/>
        </w:rPr>
        <w:t xml:space="preserve"> and, together with the Non-South African Securities, the </w:t>
      </w:r>
      <w:r w:rsidRPr="00FD0E8A">
        <w:rPr>
          <w:b/>
          <w:color w:val="000000"/>
        </w:rPr>
        <w:t>"Securities"</w:t>
      </w:r>
      <w:r w:rsidRPr="00FD0E8A">
        <w:rPr>
          <w:color w:val="000000"/>
        </w:rPr>
        <w:t xml:space="preserve"> and each a </w:t>
      </w:r>
      <w:r w:rsidRPr="00FD0E8A">
        <w:rPr>
          <w:b/>
          <w:color w:val="000000"/>
        </w:rPr>
        <w:t>"Security"</w:t>
      </w:r>
      <w:r w:rsidRPr="00FD0E8A">
        <w:rPr>
          <w:color w:val="000000"/>
        </w:rPr>
        <w:t xml:space="preserve">). South African Securities shall </w:t>
      </w:r>
      <w:r w:rsidRPr="00FD0E8A">
        <w:t xml:space="preserve">be issued </w:t>
      </w:r>
      <w:r w:rsidRPr="00FD0E8A">
        <w:rPr>
          <w:color w:val="000000"/>
        </w:rPr>
        <w:t xml:space="preserve">pursuant to an agency agreement dated 8 February 2018 among the Obligor, the Guarantor, JPMS plc, J.P. Morgan Securities LLC and The Standard Bank of South Africa Limited, as may be amended and/or restated and/or replaced from time to time (the </w:t>
      </w:r>
      <w:r w:rsidRPr="00FD0E8A">
        <w:rPr>
          <w:b/>
          <w:color w:val="000000"/>
        </w:rPr>
        <w:t>"South African Agency Agreement"</w:t>
      </w:r>
      <w:r w:rsidRPr="00FD0E8A">
        <w:rPr>
          <w:color w:val="000000"/>
        </w:rPr>
        <w:t xml:space="preserve"> and, together with the Programme Agency Agreement, the </w:t>
      </w:r>
      <w:r w:rsidRPr="00FD0E8A">
        <w:rPr>
          <w:b/>
          <w:color w:val="000000"/>
        </w:rPr>
        <w:t>"Agency Agreements"</w:t>
      </w:r>
      <w:r w:rsidRPr="00FD0E8A">
        <w:rPr>
          <w:color w:val="000000"/>
        </w:rPr>
        <w:t xml:space="preserve"> and each an </w:t>
      </w:r>
      <w:r w:rsidRPr="00FD0E8A">
        <w:rPr>
          <w:b/>
          <w:color w:val="000000"/>
        </w:rPr>
        <w:t>"Agency Agreement"</w:t>
      </w:r>
      <w:r w:rsidRPr="00FD0E8A">
        <w:rPr>
          <w:color w:val="000000"/>
        </w:rPr>
        <w:t xml:space="preserve">); </w:t>
      </w:r>
    </w:p>
    <w:p w14:paraId="6A1F9DAB" w14:textId="77777777" w:rsidR="00FD0E8A" w:rsidRPr="00FD0E8A" w:rsidRDefault="00FD0E8A" w:rsidP="00FD0E8A">
      <w:pPr>
        <w:pStyle w:val="NormalOCAshurst"/>
        <w:ind w:left="1276" w:hanging="709"/>
      </w:pPr>
      <w:r w:rsidRPr="00FD0E8A">
        <w:t>(C)</w:t>
      </w:r>
      <w:r w:rsidRPr="00FD0E8A">
        <w:tab/>
        <w:t>The Securities shall:</w:t>
      </w:r>
    </w:p>
    <w:p w14:paraId="59F09B76" w14:textId="77777777" w:rsidR="00FD0E8A" w:rsidRPr="00FD0E8A" w:rsidRDefault="00FD0E8A" w:rsidP="00FD0E8A">
      <w:pPr>
        <w:pStyle w:val="AltH4OCAshurst"/>
        <w:tabs>
          <w:tab w:val="clear" w:pos="2030"/>
          <w:tab w:val="clear" w:pos="2880"/>
          <w:tab w:val="num" w:pos="1843"/>
        </w:tabs>
        <w:ind w:left="1843" w:hanging="567"/>
      </w:pPr>
      <w:r w:rsidRPr="00FD0E8A">
        <w:t xml:space="preserve">have the benefit of: </w:t>
      </w:r>
    </w:p>
    <w:p w14:paraId="7E88DEBF" w14:textId="55E25175" w:rsidR="00FD0E8A" w:rsidRPr="00FD0E8A" w:rsidRDefault="00FD0E8A" w:rsidP="00FD0E8A">
      <w:pPr>
        <w:pStyle w:val="AltH3OCAshurst"/>
        <w:numPr>
          <w:ilvl w:val="2"/>
          <w:numId w:val="50"/>
        </w:numPr>
        <w:tabs>
          <w:tab w:val="clear" w:pos="709"/>
          <w:tab w:val="clear" w:pos="2160"/>
          <w:tab w:val="num" w:pos="2268"/>
        </w:tabs>
        <w:ind w:left="2268" w:hanging="425"/>
      </w:pPr>
      <w:r w:rsidRPr="00FD0E8A">
        <w:t xml:space="preserve">(to the extent such Securities are governed by English law) a deed of covenant dated 17 April 2025 as amended by a supplemental deed of covenant dated </w:t>
      </w:r>
      <w:r w:rsidR="00D81DB4">
        <w:t>6</w:t>
      </w:r>
      <w:r w:rsidRPr="00FD0E8A">
        <w:t xml:space="preserve"> August 2025 executed by the Obligor as may be amended and/or restated and/or replaced from time to time (the </w:t>
      </w:r>
      <w:r w:rsidRPr="00FD0E8A">
        <w:rPr>
          <w:b/>
        </w:rPr>
        <w:t>"Deed of Covenant"</w:t>
      </w:r>
      <w:r w:rsidRPr="00FD0E8A">
        <w:t xml:space="preserve">) and </w:t>
      </w:r>
    </w:p>
    <w:p w14:paraId="63D64044" w14:textId="77777777" w:rsidR="00FD0E8A" w:rsidRPr="00FD0E8A" w:rsidRDefault="00FD0E8A" w:rsidP="00FD0E8A">
      <w:pPr>
        <w:pStyle w:val="AltH3OCAshurst"/>
        <w:numPr>
          <w:ilvl w:val="2"/>
          <w:numId w:val="50"/>
        </w:numPr>
        <w:tabs>
          <w:tab w:val="clear" w:pos="709"/>
          <w:tab w:val="clear" w:pos="2160"/>
          <w:tab w:val="num" w:pos="2268"/>
        </w:tabs>
        <w:ind w:left="2268" w:hanging="425"/>
      </w:pPr>
      <w:r w:rsidRPr="00FD0E8A">
        <w:t xml:space="preserve">this guarantee (the </w:t>
      </w:r>
      <w:r w:rsidRPr="00FD0E8A">
        <w:rPr>
          <w:b/>
        </w:rPr>
        <w:t>"Guarantee"</w:t>
      </w:r>
      <w:r w:rsidRPr="00FD0E8A">
        <w:t>);</w:t>
      </w:r>
    </w:p>
    <w:p w14:paraId="2D6C6CB6" w14:textId="77777777" w:rsidR="00FD0E8A" w:rsidRPr="00FD0E8A" w:rsidRDefault="00FD0E8A" w:rsidP="00FD0E8A">
      <w:pPr>
        <w:pStyle w:val="AltH4OCAshurst"/>
        <w:numPr>
          <w:ilvl w:val="3"/>
          <w:numId w:val="51"/>
        </w:numPr>
        <w:tabs>
          <w:tab w:val="clear" w:pos="2880"/>
        </w:tabs>
        <w:ind w:left="1843"/>
      </w:pPr>
      <w:r w:rsidRPr="00FD0E8A">
        <w:t xml:space="preserve">be issued under the Conditions (as defined in the relevant Agency Agreement); </w:t>
      </w:r>
    </w:p>
    <w:p w14:paraId="33934D32" w14:textId="6E5BB00A" w:rsidR="00FD0E8A" w:rsidRPr="00FD0E8A" w:rsidRDefault="00FD0E8A" w:rsidP="00FD0E8A">
      <w:pPr>
        <w:pStyle w:val="AltH4OCAshurst"/>
        <w:numPr>
          <w:ilvl w:val="3"/>
          <w:numId w:val="50"/>
        </w:numPr>
        <w:tabs>
          <w:tab w:val="clear" w:pos="2880"/>
        </w:tabs>
        <w:ind w:left="1843"/>
      </w:pPr>
      <w:r w:rsidRPr="00FD0E8A">
        <w:lastRenderedPageBreak/>
        <w:t xml:space="preserve">(unless otherwise agreed) be subscribed by Dealers in accordance with an amended and restated programme agreement dated 17 April 2025, as amended by a supplemental programme agreement dated </w:t>
      </w:r>
      <w:r w:rsidR="00D81DB4">
        <w:t>6</w:t>
      </w:r>
      <w:r w:rsidRPr="00FD0E8A">
        <w:t xml:space="preserve"> August 2025 between, amongst others, the Obligor and JPMS plc as may be amended and/or restated and/or replaced from time to time (the </w:t>
      </w:r>
      <w:r w:rsidRPr="00FD0E8A">
        <w:rPr>
          <w:b/>
        </w:rPr>
        <w:t>"Programme Agreement"</w:t>
      </w:r>
      <w:r w:rsidRPr="00FD0E8A">
        <w:t xml:space="preserve">). </w:t>
      </w:r>
    </w:p>
    <w:p w14:paraId="35055127" w14:textId="77777777" w:rsidR="00FD0E8A" w:rsidRPr="00FD0E8A" w:rsidRDefault="00FD0E8A" w:rsidP="00FD0E8A">
      <w:pPr>
        <w:pStyle w:val="NormalOCAshurst"/>
        <w:ind w:left="1276" w:hanging="709"/>
      </w:pPr>
      <w:r w:rsidRPr="00FD0E8A">
        <w:tab/>
        <w:t xml:space="preserve">(The Agency Agreements, the Deed of Covenant, the Guarantee, the Conditions and the Programme Agreement are together the </w:t>
      </w:r>
      <w:r w:rsidRPr="00FD0E8A">
        <w:rPr>
          <w:b/>
        </w:rPr>
        <w:t>"Programme Documents"</w:t>
      </w:r>
      <w:r w:rsidRPr="00FD0E8A">
        <w:t>.)</w:t>
      </w:r>
    </w:p>
    <w:p w14:paraId="280724C7" w14:textId="77777777" w:rsidR="00FD0E8A" w:rsidRPr="00FD0E8A" w:rsidRDefault="00FD0E8A" w:rsidP="00FD0E8A">
      <w:pPr>
        <w:pStyle w:val="NormalOCAshurst"/>
        <w:ind w:left="1276" w:hanging="709"/>
      </w:pPr>
      <w:r w:rsidRPr="00FD0E8A">
        <w:t>(D)</w:t>
      </w:r>
      <w:r w:rsidRPr="00FD0E8A">
        <w:tab/>
        <w:t xml:space="preserve">For the purpose of this Guarantee, the Holders (as defined in the Conditions) of Securities issued by the Obligor shall be the </w:t>
      </w:r>
      <w:r w:rsidRPr="00FD0E8A">
        <w:rPr>
          <w:b/>
        </w:rPr>
        <w:t>"Beneficiaries"</w:t>
      </w:r>
      <w:r w:rsidRPr="00FD0E8A">
        <w:t xml:space="preserve"> (and each, a </w:t>
      </w:r>
      <w:r w:rsidRPr="00FD0E8A">
        <w:rPr>
          <w:b/>
        </w:rPr>
        <w:t>"Beneficiary"</w:t>
      </w:r>
      <w:r w:rsidRPr="00FD0E8A">
        <w:t>).</w:t>
      </w:r>
    </w:p>
    <w:p w14:paraId="351AB771" w14:textId="77777777" w:rsidR="00FD0E8A" w:rsidRPr="00FD0E8A" w:rsidRDefault="00FD0E8A" w:rsidP="00FD0E8A">
      <w:pPr>
        <w:pStyle w:val="NormalOCAshurst"/>
        <w:ind w:left="567"/>
      </w:pPr>
      <w:r w:rsidRPr="00FD0E8A">
        <w:rPr>
          <w:b/>
          <w:caps/>
        </w:rPr>
        <w:t>NOW THIS DEED WITNESSES</w:t>
      </w:r>
      <w:r w:rsidRPr="00FD0E8A">
        <w:t xml:space="preserve"> as follows:</w:t>
      </w:r>
    </w:p>
    <w:p w14:paraId="5CFC3906" w14:textId="77777777" w:rsidR="00FD0E8A" w:rsidRPr="00FD0E8A" w:rsidRDefault="00FD0E8A" w:rsidP="00FD0E8A">
      <w:pPr>
        <w:pStyle w:val="AltBH1OCAshurst"/>
        <w:numPr>
          <w:ilvl w:val="0"/>
          <w:numId w:val="48"/>
        </w:numPr>
        <w:ind w:left="1276"/>
      </w:pPr>
      <w:r w:rsidRPr="00FD0E8A">
        <w:t>Guarantee</w:t>
      </w:r>
    </w:p>
    <w:p w14:paraId="53248640" w14:textId="77777777" w:rsidR="00FD0E8A" w:rsidRPr="00FD0E8A" w:rsidRDefault="00FD0E8A" w:rsidP="00FD0E8A">
      <w:pPr>
        <w:pStyle w:val="NormalOCAshurst"/>
        <w:ind w:left="567"/>
        <w:rPr>
          <w:b/>
        </w:rPr>
      </w:pPr>
      <w:r w:rsidRPr="00FD0E8A">
        <w:t>Subject as provided below, the Guarantor unconditionally and irrevocably guarantees by way of deed poll to each Beneficiary that, if for any reason the Obligor does not pay any sum payable by it or perform any other obligation in respect of any Security issued by it on or after the date hereof (subject as provided in clause 8 (</w:t>
      </w:r>
      <w:r w:rsidRPr="00FD0E8A">
        <w:rPr>
          <w:i/>
        </w:rPr>
        <w:t>Deposit of Guarantee and Application</w:t>
      </w:r>
      <w:r w:rsidRPr="00FD0E8A">
        <w:t>)) on the date such payment or performance is due in accordance with the Conditions applicable to such Security (and for the avoidance of doubt, after any applicable delay or extinguishment due to any event or condition set out in the Conditions providing or allowing for delay or extinguishment in respect of the payment or performance of such obligation) the Guarantor will, subject to and in accordance with the Conditions, pay that sum in the currency in which such payment is due in immediately available funds or, as the case may be, perform or procure the performance of the relevant obligations on the due date for such performance. In case of the failure of the Obligor to satisfy such obligations as and when the same become due under the Conditions, the Guarantor hereby undertakes to make or cause to be made such payment or satisfy or cause to be satisfied such obligations as though the Guarantor were the principal obligor in respect of such obligations after a demand has been made on the Guarantor pursuant to clause 9 (</w:t>
      </w:r>
      <w:r w:rsidRPr="00FD0E8A">
        <w:rPr>
          <w:i/>
        </w:rPr>
        <w:t>Demand on Guarantor</w:t>
      </w:r>
      <w:r w:rsidRPr="00FD0E8A">
        <w:t>).</w:t>
      </w:r>
    </w:p>
    <w:p w14:paraId="3B3F34BE" w14:textId="77777777" w:rsidR="00FD0E8A" w:rsidRPr="00FD0E8A" w:rsidRDefault="00FD0E8A" w:rsidP="00FD0E8A">
      <w:pPr>
        <w:pStyle w:val="AltBH1OCAshurst"/>
        <w:numPr>
          <w:ilvl w:val="0"/>
          <w:numId w:val="48"/>
        </w:numPr>
        <w:ind w:left="1276"/>
      </w:pPr>
      <w:r w:rsidRPr="00FD0E8A">
        <w:t>Guarantor as Principal Obligor</w:t>
      </w:r>
    </w:p>
    <w:p w14:paraId="02D741A8" w14:textId="77777777" w:rsidR="00FD0E8A" w:rsidRPr="00FD0E8A" w:rsidRDefault="00FD0E8A" w:rsidP="00FD0E8A">
      <w:pPr>
        <w:pStyle w:val="NormalOCAshurst"/>
        <w:ind w:left="567"/>
      </w:pPr>
      <w:r w:rsidRPr="00FD0E8A">
        <w:t>As between the Guarantor and each Beneficiary but without affecting the Obligor's obligations, the Guarantor will be liable under this Guarantee as if it were the sole principal obligor and not merely a surety, subject as provided below. Accordingly, subject as provided below, the Guarantor will not be discharged, nor will its liability be affected, by (a) any change in the amount, time, manner or place of payment of, or in any other term of, any such obligations, or any other amendment or waiver of or any consent to departure from any of the terms of the Conditions or any such obligations; (b) any release, surrender or amendment or waiver of, or consent to departure from, any other guaranty or support document, or any exchange, release or non-perfection of any security, collateral or other credit support, for all or any of the Conditions or any such obligations; (c) the status of the Obligor as the debtor or subject of a bankruptcy or insolvency proceeding; (d) the absence of any action to enforce any of the Obligor's obligations or any collateral therefor; (e) the rendering of any judgment against the Obligor or any action to enforce the same; and (f) any admission by the Obligor in writing of its inability to pay or meet its debts as they may mature or if proceedings are initiated against the Obligor under any applicable insolvency or bankruptcy laws or the Obligor convenes a meeting of its creditors or makes or proposes to make any arrangements or compositions with or any assignment for the benefit of its creditors, save that, for the avoidance of doubt, the Guarantor shall not be liable under this Guarantee where, pursuant to the Conditions, the payment or performance by the Obligor in respect of its obligations is not due. In addition to and not in limitation of the preceding proviso, any defences or counterclaims of the Obligor (other than any resulting solely from, or available to the Guarantor solely on account of, the insolvency of the Obligor or the status of the Obligor as the debtor or subject of a bankruptcy or insolvency proceeding) shall also be available to the Guarantor to the same extent as such defences or counterclaims are available to the Obligor and may be asserted as defences or counterclaims by the Guarantor to its obligations hereunder with respect to such obligations of the Obligor, in each case whether or</w:t>
      </w:r>
      <w:r w:rsidRPr="00FD0E8A">
        <w:rPr>
          <w:bCs/>
        </w:rPr>
        <w:t xml:space="preserve"> not </w:t>
      </w:r>
      <w:r w:rsidRPr="00FD0E8A">
        <w:t>asserted by the Obligor.</w:t>
      </w:r>
    </w:p>
    <w:p w14:paraId="16FE7B56" w14:textId="77777777" w:rsidR="00FD0E8A" w:rsidRPr="00FD0E8A" w:rsidRDefault="00FD0E8A" w:rsidP="00FD0E8A">
      <w:pPr>
        <w:pStyle w:val="AltH1OCAshurst"/>
        <w:numPr>
          <w:ilvl w:val="0"/>
          <w:numId w:val="49"/>
        </w:numPr>
        <w:tabs>
          <w:tab w:val="clear" w:pos="3277"/>
        </w:tabs>
        <w:ind w:left="1276"/>
        <w:rPr>
          <w:b/>
        </w:rPr>
      </w:pPr>
      <w:r w:rsidRPr="00FD0E8A">
        <w:rPr>
          <w:b/>
        </w:rPr>
        <w:t>Guarantor's Obligations Continuing</w:t>
      </w:r>
    </w:p>
    <w:p w14:paraId="3BCE59A7" w14:textId="77777777" w:rsidR="00FD0E8A" w:rsidRPr="00FD0E8A" w:rsidRDefault="00FD0E8A" w:rsidP="00FD0E8A">
      <w:pPr>
        <w:pStyle w:val="NormalOCAshurst"/>
        <w:ind w:left="567"/>
      </w:pPr>
      <w:r w:rsidRPr="00FD0E8A">
        <w:t xml:space="preserve">The Guarantor's obligations under this Guarantee are and will remain in full force and effect by way of continuing security until no sum remains payable and no other obligation remains to be performed under </w:t>
      </w:r>
      <w:r w:rsidRPr="00FD0E8A">
        <w:lastRenderedPageBreak/>
        <w:t>any Security issued by the Obligor on or after the date hereof (in the case where the relevant Security is a Warrant (as defined in the applicable Programme Documents), subject to its exercise). Furthermore, those obligations of the Guarantor are additional to, and not instead of, any security or other guarantee or indemnity at any time existing in favour of any person, whether from the Guarantor or otherwise.</w:t>
      </w:r>
    </w:p>
    <w:p w14:paraId="76522A1D" w14:textId="77777777" w:rsidR="00FD0E8A" w:rsidRPr="00FD0E8A" w:rsidRDefault="00FD0E8A" w:rsidP="00FD0E8A">
      <w:pPr>
        <w:pStyle w:val="AltH1OCAshurst"/>
        <w:keepNext/>
        <w:numPr>
          <w:ilvl w:val="0"/>
          <w:numId w:val="50"/>
        </w:numPr>
        <w:tabs>
          <w:tab w:val="clear" w:pos="3277"/>
        </w:tabs>
        <w:ind w:left="1276"/>
        <w:rPr>
          <w:b/>
        </w:rPr>
      </w:pPr>
      <w:r w:rsidRPr="00FD0E8A">
        <w:rPr>
          <w:b/>
        </w:rPr>
        <w:t>Discharge by Obligor</w:t>
      </w:r>
    </w:p>
    <w:p w14:paraId="4926A18E" w14:textId="77777777" w:rsidR="00FD0E8A" w:rsidRPr="00FD0E8A" w:rsidRDefault="00FD0E8A" w:rsidP="00FD0E8A">
      <w:pPr>
        <w:pStyle w:val="NormalOCAshurst"/>
        <w:ind w:left="567"/>
      </w:pPr>
      <w:r w:rsidRPr="00FD0E8A">
        <w:t>If any payment received by, or other obligation discharged to or to the order of, any Beneficiary is, on the subsequent bankruptcy or insolvency of the Obligor, avoided under any laws relating to bankruptcy or insolvency, such payment or obligation will not be considered as having discharged or diminished the liability of the Guarantor and this Guarantee will continue to apply as if such payment or obligation had at all times remained owing due by the Obligor.</w:t>
      </w:r>
    </w:p>
    <w:p w14:paraId="6A10AAB6" w14:textId="77777777" w:rsidR="00FD0E8A" w:rsidRPr="00FD0E8A" w:rsidRDefault="00FD0E8A" w:rsidP="00FD0E8A">
      <w:pPr>
        <w:pStyle w:val="AltH1OCAshurst"/>
        <w:numPr>
          <w:ilvl w:val="0"/>
          <w:numId w:val="50"/>
        </w:numPr>
        <w:tabs>
          <w:tab w:val="clear" w:pos="3277"/>
        </w:tabs>
        <w:ind w:left="1276"/>
        <w:rPr>
          <w:b/>
        </w:rPr>
      </w:pPr>
      <w:r w:rsidRPr="00FD0E8A">
        <w:rPr>
          <w:b/>
        </w:rPr>
        <w:t>Subrogation</w:t>
      </w:r>
    </w:p>
    <w:p w14:paraId="1C71F810" w14:textId="77777777" w:rsidR="00FD0E8A" w:rsidRPr="00FD0E8A" w:rsidRDefault="00FD0E8A" w:rsidP="00FD0E8A">
      <w:pPr>
        <w:pStyle w:val="NormalOCAshurst"/>
        <w:ind w:left="567"/>
      </w:pPr>
      <w:r w:rsidRPr="00FD0E8A">
        <w:t>The Guarantor (1) shall have the right, upon receipt of a demand under this Guarantee by a Beneficiary, to assume the rights and payment obligations of the Obligor to such Beneficiary, together with any right of the Obligor to cure any event of default by or relating to the Obligor, notwithstanding any notice of default/termination previously sent by such Beneficiary to the Obligor, and thereby rescind any notice of default/termination given by such Beneficiary, and (2) shall be subrogated to all rights of the Beneficiaries against the Obligor in respect of any amounts paid by the Guarantor pursuant to the provisions of this Guarantee; provided, however, that the Guarantor shall not be entitled to enforce or to receive any payments arising out of, or based upon, such right of subrogation until all amounts due and payable by the Obligor to the Beneficiaries in respect of the obligations subject to the aforesaid demand for payment, up to the time of such subrogation, have been paid in full.</w:t>
      </w:r>
    </w:p>
    <w:p w14:paraId="5B463F86" w14:textId="77777777" w:rsidR="00FD0E8A" w:rsidRPr="00FD0E8A" w:rsidRDefault="00FD0E8A" w:rsidP="00FD0E8A">
      <w:pPr>
        <w:pStyle w:val="AltH1OCAshurst"/>
        <w:numPr>
          <w:ilvl w:val="0"/>
          <w:numId w:val="50"/>
        </w:numPr>
        <w:tabs>
          <w:tab w:val="clear" w:pos="3277"/>
        </w:tabs>
        <w:ind w:left="1276"/>
        <w:rPr>
          <w:b/>
        </w:rPr>
      </w:pPr>
      <w:r w:rsidRPr="00FD0E8A">
        <w:rPr>
          <w:b/>
        </w:rPr>
        <w:t>No Set-off</w:t>
      </w:r>
    </w:p>
    <w:p w14:paraId="30FFDCFC" w14:textId="77777777" w:rsidR="00FD0E8A" w:rsidRPr="00FD0E8A" w:rsidRDefault="00FD0E8A" w:rsidP="00FD0E8A">
      <w:pPr>
        <w:pStyle w:val="NormalOCAshurst"/>
        <w:ind w:left="567"/>
      </w:pPr>
      <w:r w:rsidRPr="00FD0E8A">
        <w:t>By acceptance of this Guarantee, each of the Beneficiaries hereby waives any right it or any of its affiliates may have now or in the future (and irrespective of any future agreements among the Guarantor, the Obligor, the Beneficiaries or any of their respective affiliates) to set-off, combine, consolidate, or otherwise appropriate and apply (i) any assets of the Guarantor or any of its affiliates at any time held by any of them or (ii) any indebtedness or other liabilities at any time owing by any of them to the Guarantor or any of its affiliates, as the case may be, on account of the obligations or liabilities owed by the Guarantor to such party under this Guarantee.</w:t>
      </w:r>
    </w:p>
    <w:p w14:paraId="62CD7933" w14:textId="77777777" w:rsidR="00FD0E8A" w:rsidRPr="00FD0E8A" w:rsidRDefault="00FD0E8A" w:rsidP="00FD0E8A">
      <w:pPr>
        <w:pStyle w:val="AltH1OCAshurst"/>
        <w:numPr>
          <w:ilvl w:val="0"/>
          <w:numId w:val="50"/>
        </w:numPr>
        <w:tabs>
          <w:tab w:val="clear" w:pos="3277"/>
        </w:tabs>
        <w:ind w:left="1276"/>
        <w:rPr>
          <w:b/>
        </w:rPr>
      </w:pPr>
      <w:r w:rsidRPr="00FD0E8A">
        <w:rPr>
          <w:b/>
        </w:rPr>
        <w:t>Incorporation of Terms</w:t>
      </w:r>
    </w:p>
    <w:p w14:paraId="7FAF8891" w14:textId="77777777" w:rsidR="00FD0E8A" w:rsidRPr="00FD0E8A" w:rsidRDefault="00FD0E8A" w:rsidP="00FD0E8A">
      <w:pPr>
        <w:pStyle w:val="NormalOCAshurst"/>
        <w:ind w:left="567"/>
      </w:pPr>
      <w:r w:rsidRPr="00FD0E8A">
        <w:t>The Guarantor agrees that it shall comply with and be bound by those provisions contained in the Programme Documents which relate to it.</w:t>
      </w:r>
    </w:p>
    <w:p w14:paraId="0C172A39" w14:textId="77777777" w:rsidR="00FD0E8A" w:rsidRPr="00FD0E8A" w:rsidRDefault="00FD0E8A" w:rsidP="00FD0E8A">
      <w:pPr>
        <w:pStyle w:val="AltH1OCAshurst"/>
        <w:numPr>
          <w:ilvl w:val="0"/>
          <w:numId w:val="50"/>
        </w:numPr>
        <w:tabs>
          <w:tab w:val="clear" w:pos="3277"/>
        </w:tabs>
        <w:ind w:left="1276"/>
        <w:rPr>
          <w:b/>
        </w:rPr>
      </w:pPr>
      <w:bookmarkStart w:id="2" w:name="_Ref478996743"/>
      <w:r w:rsidRPr="00FD0E8A">
        <w:rPr>
          <w:b/>
        </w:rPr>
        <w:t>Deposit of Guarantee and Application</w:t>
      </w:r>
      <w:bookmarkEnd w:id="2"/>
    </w:p>
    <w:p w14:paraId="6FBB96CF" w14:textId="77777777" w:rsidR="00FD0E8A" w:rsidRPr="00FD0E8A" w:rsidRDefault="00FD0E8A" w:rsidP="00FD0E8A">
      <w:pPr>
        <w:pStyle w:val="NormalOCAshurst"/>
        <w:ind w:left="567"/>
      </w:pPr>
      <w:r w:rsidRPr="00FD0E8A">
        <w:t>This Guarantee shall be deposited with and held by The Bank of New York Mellon, London Branch for the benefit of the Beneficiaries.</w:t>
      </w:r>
    </w:p>
    <w:p w14:paraId="0A9575B1" w14:textId="77777777" w:rsidR="00FD0E8A" w:rsidRPr="00FD0E8A" w:rsidRDefault="00FD0E8A" w:rsidP="00FD0E8A">
      <w:pPr>
        <w:pStyle w:val="AltH3OCAshurst"/>
        <w:numPr>
          <w:ilvl w:val="2"/>
          <w:numId w:val="50"/>
        </w:numPr>
        <w:tabs>
          <w:tab w:val="clear" w:pos="2160"/>
        </w:tabs>
        <w:ind w:left="1276"/>
      </w:pPr>
      <w:r w:rsidRPr="00FD0E8A">
        <w:t>Subject to clause 8(b) and 8(c) below, this Guarantee:</w:t>
      </w:r>
    </w:p>
    <w:p w14:paraId="22D0CFC2" w14:textId="3AD9B1B4" w:rsidR="00FD0E8A" w:rsidRPr="00FD0E8A" w:rsidRDefault="00FD0E8A" w:rsidP="00FD0E8A">
      <w:pPr>
        <w:pStyle w:val="AltH4OCAshurst"/>
        <w:numPr>
          <w:ilvl w:val="3"/>
          <w:numId w:val="50"/>
        </w:numPr>
        <w:tabs>
          <w:tab w:val="clear" w:pos="2880"/>
        </w:tabs>
        <w:ind w:left="1843"/>
      </w:pPr>
      <w:r w:rsidRPr="00FD0E8A">
        <w:t xml:space="preserve">applies in respect of each Security issued by the Obligor under the Programme on or after </w:t>
      </w:r>
      <w:r w:rsidR="00D81DB4">
        <w:t>6</w:t>
      </w:r>
      <w:r w:rsidRPr="00FD0E8A">
        <w:t xml:space="preserve"> August 2025 (the </w:t>
      </w:r>
      <w:r w:rsidRPr="00FD0E8A">
        <w:rPr>
          <w:b/>
        </w:rPr>
        <w:t>"Effective Date"</w:t>
      </w:r>
      <w:r w:rsidRPr="00FD0E8A">
        <w:t xml:space="preserve">); and </w:t>
      </w:r>
    </w:p>
    <w:p w14:paraId="3FBF11C1" w14:textId="77777777" w:rsidR="00FD0E8A" w:rsidRPr="00FD0E8A" w:rsidRDefault="00FD0E8A" w:rsidP="00FD0E8A">
      <w:pPr>
        <w:pStyle w:val="AltH4OCAshurst"/>
        <w:numPr>
          <w:ilvl w:val="3"/>
          <w:numId w:val="50"/>
        </w:numPr>
        <w:tabs>
          <w:tab w:val="clear" w:pos="2880"/>
        </w:tabs>
        <w:ind w:left="1843"/>
      </w:pPr>
      <w:r w:rsidRPr="00FD0E8A">
        <w:t xml:space="preserve">amends, supplants and replaces in its entirety the guarantee for the Programme deemed effective as of 17 April 2025 (the </w:t>
      </w:r>
      <w:r w:rsidRPr="00FD0E8A">
        <w:rPr>
          <w:b/>
        </w:rPr>
        <w:t>"</w:t>
      </w:r>
      <w:r w:rsidRPr="00FD0E8A">
        <w:rPr>
          <w:b/>
          <w:bCs/>
        </w:rPr>
        <w:t xml:space="preserve">17 April 2025 </w:t>
      </w:r>
      <w:r w:rsidRPr="00FD0E8A">
        <w:rPr>
          <w:b/>
        </w:rPr>
        <w:t>Guarantee"</w:t>
      </w:r>
      <w:r w:rsidRPr="00FD0E8A">
        <w:t xml:space="preserve">). For the avoidance of doubt, the 17 April 2025 Guarantee (and each guarantee of Securities by the Guarantor under the Programme preceding the 17 April 2025 Guarantee, as applicable) shall continue to apply to Securities issued under the Programme before the Effective Date in accordance with their terms, as applicable. </w:t>
      </w:r>
    </w:p>
    <w:p w14:paraId="2018EF82" w14:textId="77777777" w:rsidR="00FD0E8A" w:rsidRPr="00FD0E8A" w:rsidRDefault="00FD0E8A" w:rsidP="00FD0E8A">
      <w:pPr>
        <w:pStyle w:val="AltH3OCAshurst"/>
        <w:numPr>
          <w:ilvl w:val="2"/>
          <w:numId w:val="50"/>
        </w:numPr>
        <w:tabs>
          <w:tab w:val="clear" w:pos="2160"/>
        </w:tabs>
        <w:ind w:left="1276"/>
      </w:pPr>
      <w:r w:rsidRPr="00FD0E8A">
        <w:t>Securities issued on or after the Effective Date which are expressed to be consolidated and form a single series with Securities the first tranche of which was issued prior to the Effective Date, shall not have the benefit of this Guarantee but shall instead have the benefit of the same guarantee of the Guarantor under the Programme granted in respect of such first tranche of Securities.</w:t>
      </w:r>
    </w:p>
    <w:p w14:paraId="77A91242" w14:textId="77777777" w:rsidR="00FD0E8A" w:rsidRPr="00FD0E8A" w:rsidRDefault="00FD0E8A" w:rsidP="00FD0E8A">
      <w:pPr>
        <w:pStyle w:val="AltH3OCAshurst"/>
        <w:numPr>
          <w:ilvl w:val="2"/>
          <w:numId w:val="50"/>
        </w:numPr>
        <w:tabs>
          <w:tab w:val="clear" w:pos="2160"/>
        </w:tabs>
        <w:ind w:left="1276"/>
      </w:pPr>
      <w:r w:rsidRPr="00FD0E8A">
        <w:lastRenderedPageBreak/>
        <w:t>This Guarantee shall not apply in respect of any Securities issued on or after the date on which the Guarantor has granted a subsequent guarantee of Securities issued by the Obligor under the Programme and which subsequent guarantee is expressed to replace this Guarantee in relation to such Securities (unless expressly so provided in the terms of such subsequent guarantee, including in the circumstance of clause 8(b) above where such Securities are to be consolidated and form a single series with Securities the first tranche of which was issued on or after the Effective Date but before the date on which the Guarantor has granted a subsequent guarantee).</w:t>
      </w:r>
    </w:p>
    <w:p w14:paraId="2C2E6B7C" w14:textId="77777777" w:rsidR="00FD0E8A" w:rsidRPr="00FD0E8A" w:rsidRDefault="00FD0E8A" w:rsidP="00FD0E8A">
      <w:pPr>
        <w:pStyle w:val="AltH1OCAshurst"/>
        <w:numPr>
          <w:ilvl w:val="0"/>
          <w:numId w:val="50"/>
        </w:numPr>
        <w:tabs>
          <w:tab w:val="clear" w:pos="3277"/>
        </w:tabs>
        <w:ind w:left="1276"/>
        <w:rPr>
          <w:b/>
        </w:rPr>
      </w:pPr>
      <w:bookmarkStart w:id="3" w:name="_Ref478996769"/>
      <w:r w:rsidRPr="00FD0E8A">
        <w:rPr>
          <w:b/>
        </w:rPr>
        <w:t>Demand on Guarantor</w:t>
      </w:r>
      <w:bookmarkEnd w:id="3"/>
    </w:p>
    <w:p w14:paraId="0BDE311E" w14:textId="7BA367D3" w:rsidR="00FD0E8A" w:rsidRPr="00FD0E8A" w:rsidRDefault="00FD0E8A" w:rsidP="00FD0E8A">
      <w:pPr>
        <w:pStyle w:val="NormalOCAshurst"/>
        <w:ind w:left="567"/>
      </w:pPr>
      <w:r w:rsidRPr="00FD0E8A">
        <w:t xml:space="preserve">Any demand hereunder shall be given in writing, addressed to the Guarantor and served at its office at 4 Metrotech, Brooklyn, New York, 11245, United States of America, Attn: Finance Controllers, Interentity Analysis Group - Peter W Smith, </w:t>
      </w:r>
      <w:r w:rsidR="000C6B99" w:rsidRPr="000C6B99">
        <w:t>email: guarantee.notifications@jpmchase.com</w:t>
      </w:r>
      <w:r w:rsidRPr="00FD0E8A">
        <w:t xml:space="preserve">. A demand so made shall be deemed to have been duly made five New York Business Days (as used herein, </w:t>
      </w:r>
      <w:r w:rsidRPr="00FD0E8A">
        <w:rPr>
          <w:b/>
        </w:rPr>
        <w:t>"New York Business Day"</w:t>
      </w:r>
      <w:r w:rsidRPr="00FD0E8A">
        <w:t xml:space="preserve"> means a day (other than a Saturday or Sunday) on which banks are open for business in New York) after the day it was served or if it was served on a day that was not a New York Business Day or after 5.30 p.m. (New York time) on any day, the demand shall be deemed to be duly made five New York Business Days after the New York Business Day immediately following such day.</w:t>
      </w:r>
    </w:p>
    <w:p w14:paraId="660F00CC" w14:textId="77777777" w:rsidR="00FD0E8A" w:rsidRPr="00FD0E8A" w:rsidRDefault="00FD0E8A" w:rsidP="00FD0E8A">
      <w:pPr>
        <w:pStyle w:val="AltH1OCAshurst"/>
        <w:numPr>
          <w:ilvl w:val="0"/>
          <w:numId w:val="50"/>
        </w:numPr>
        <w:tabs>
          <w:tab w:val="clear" w:pos="3277"/>
        </w:tabs>
        <w:ind w:left="1276"/>
        <w:rPr>
          <w:b/>
        </w:rPr>
      </w:pPr>
      <w:r w:rsidRPr="00FD0E8A">
        <w:rPr>
          <w:b/>
        </w:rPr>
        <w:t>Not Insured</w:t>
      </w:r>
    </w:p>
    <w:p w14:paraId="689E7516" w14:textId="77777777" w:rsidR="00FD0E8A" w:rsidRPr="00FD0E8A" w:rsidRDefault="00FD0E8A" w:rsidP="00FD0E8A">
      <w:pPr>
        <w:pStyle w:val="NormalOCAshurst"/>
        <w:ind w:left="567"/>
      </w:pPr>
      <w:r w:rsidRPr="00FD0E8A">
        <w:t>This Guarantee is not insured by the Federal Deposit Insurance Corporation of the United States of America.</w:t>
      </w:r>
    </w:p>
    <w:p w14:paraId="21FECB2C" w14:textId="77777777" w:rsidR="00FD0E8A" w:rsidRPr="00FD0E8A" w:rsidRDefault="00FD0E8A" w:rsidP="00FD0E8A">
      <w:pPr>
        <w:pStyle w:val="AltH1OCAshurst"/>
        <w:numPr>
          <w:ilvl w:val="0"/>
          <w:numId w:val="50"/>
        </w:numPr>
        <w:tabs>
          <w:tab w:val="clear" w:pos="3277"/>
        </w:tabs>
        <w:ind w:left="1276"/>
        <w:rPr>
          <w:b/>
        </w:rPr>
      </w:pPr>
      <w:r w:rsidRPr="00FD0E8A">
        <w:rPr>
          <w:b/>
        </w:rPr>
        <w:t>Governing Law</w:t>
      </w:r>
    </w:p>
    <w:p w14:paraId="46C52C54" w14:textId="77777777" w:rsidR="00FD0E8A" w:rsidRPr="00FD0E8A" w:rsidRDefault="00FD0E8A" w:rsidP="00FD0E8A">
      <w:pPr>
        <w:pStyle w:val="NormalOCAshurst"/>
        <w:ind w:left="567"/>
      </w:pPr>
      <w:r w:rsidRPr="00FD0E8A">
        <w:t>This Guarantee and any non-contractual obligations arising out of or in connection herewith shall be governed by and construed in accordance with English law.</w:t>
      </w:r>
    </w:p>
    <w:p w14:paraId="15426816" w14:textId="77777777" w:rsidR="00FD0E8A" w:rsidRPr="00FD0E8A" w:rsidRDefault="00FD0E8A" w:rsidP="00FD0E8A">
      <w:pPr>
        <w:pStyle w:val="AltH1OCAshurst"/>
        <w:numPr>
          <w:ilvl w:val="0"/>
          <w:numId w:val="50"/>
        </w:numPr>
        <w:tabs>
          <w:tab w:val="clear" w:pos="3277"/>
        </w:tabs>
        <w:ind w:left="1276"/>
        <w:rPr>
          <w:b/>
        </w:rPr>
      </w:pPr>
      <w:r w:rsidRPr="00FD0E8A">
        <w:rPr>
          <w:b/>
        </w:rPr>
        <w:t>QFC Stay Rules</w:t>
      </w:r>
    </w:p>
    <w:p w14:paraId="2F9FD81A" w14:textId="77777777" w:rsidR="00FD0E8A" w:rsidRPr="00FD0E8A" w:rsidRDefault="00FD0E8A" w:rsidP="00FD0E8A">
      <w:pPr>
        <w:suppressAutoHyphens/>
        <w:spacing w:after="200"/>
        <w:ind w:left="567"/>
        <w:rPr>
          <w:rFonts w:ascii="Times New Roman" w:eastAsia="DengXian" w:hAnsi="Times New Roman"/>
          <w:sz w:val="20"/>
          <w:szCs w:val="20"/>
        </w:rPr>
      </w:pPr>
      <w:r w:rsidRPr="00FD0E8A">
        <w:rPr>
          <w:rFonts w:ascii="Times New Roman" w:eastAsia="DengXian" w:hAnsi="Times New Roman"/>
          <w:sz w:val="20"/>
          <w:szCs w:val="20"/>
        </w:rPr>
        <w:t>Notwithstanding herein to the contrary:</w:t>
      </w:r>
    </w:p>
    <w:p w14:paraId="22323B8F" w14:textId="77777777" w:rsidR="00FD0E8A" w:rsidRPr="00FD0E8A" w:rsidRDefault="00FD0E8A" w:rsidP="00FD0E8A">
      <w:pPr>
        <w:suppressAutoHyphens/>
        <w:spacing w:after="200"/>
        <w:ind w:left="1276" w:hanging="709"/>
        <w:rPr>
          <w:rFonts w:ascii="Times New Roman" w:eastAsia="DengXian" w:hAnsi="Times New Roman"/>
          <w:sz w:val="20"/>
          <w:szCs w:val="20"/>
        </w:rPr>
      </w:pPr>
      <w:r w:rsidRPr="00FD0E8A">
        <w:rPr>
          <w:rFonts w:ascii="Times New Roman" w:eastAsia="DengXian" w:hAnsi="Times New Roman"/>
          <w:sz w:val="20"/>
          <w:szCs w:val="20"/>
        </w:rPr>
        <w:t>(a)</w:t>
      </w:r>
      <w:r w:rsidRPr="00FD0E8A">
        <w:rPr>
          <w:rFonts w:ascii="Times New Roman" w:eastAsia="DengXian" w:hAnsi="Times New Roman"/>
          <w:sz w:val="20"/>
          <w:szCs w:val="20"/>
        </w:rPr>
        <w:tab/>
        <w:t>to the extent required under a U.S. Special Resolution Regime, this Guarantee and any interest or obligation in or under this Guarantee, or any property securing this Guarantee may be transferred to a transferee required under such U.S. Special Resolution Regime upon or following the Guarantor becoming subject to a receivership, insolvency, liquidation, resolution or similar proceeding unless the result of the transfer would result in a Beneficiary being the beneficiary of this Guarantee in violation of any law applicable to such Beneficiary;</w:t>
      </w:r>
    </w:p>
    <w:p w14:paraId="7C2395D1" w14:textId="77777777" w:rsidR="00FD0E8A" w:rsidRPr="00FD0E8A" w:rsidRDefault="00FD0E8A" w:rsidP="00FD0E8A">
      <w:pPr>
        <w:suppressAutoHyphens/>
        <w:spacing w:after="200"/>
        <w:ind w:left="1276" w:hanging="709"/>
        <w:rPr>
          <w:rFonts w:ascii="Times New Roman" w:eastAsia="DengXian" w:hAnsi="Times New Roman"/>
          <w:sz w:val="20"/>
          <w:szCs w:val="20"/>
        </w:rPr>
      </w:pPr>
      <w:r w:rsidRPr="00FD0E8A">
        <w:rPr>
          <w:rFonts w:ascii="Times New Roman" w:eastAsia="DengXian" w:hAnsi="Times New Roman"/>
          <w:sz w:val="20"/>
          <w:szCs w:val="20"/>
        </w:rPr>
        <w:t>(b)</w:t>
      </w:r>
      <w:r w:rsidRPr="00FD0E8A">
        <w:rPr>
          <w:rFonts w:ascii="Times New Roman" w:eastAsia="DengXian" w:hAnsi="Times New Roman"/>
          <w:sz w:val="20"/>
          <w:szCs w:val="20"/>
        </w:rPr>
        <w:tab/>
        <w:t>in the event the Guarantor becomes subject to a proceeding under a U.S. Special Resolution Regime, the transfer of this Guarantee (and any interest and obligation in or under, and any property securing, this Guarantee) from the Guarantor will be effective to the same extent as the transfer would be effective under the U.S. Special Resolution Regime if this Guarantee (and any interest and obligation in or under, and any property securing, this Guarantee) were governed by the laws of the United States or a state of the United States;</w:t>
      </w:r>
    </w:p>
    <w:p w14:paraId="7C376DF4" w14:textId="77777777" w:rsidR="00FD0E8A" w:rsidRPr="00FD0E8A" w:rsidRDefault="00FD0E8A" w:rsidP="00FD0E8A">
      <w:pPr>
        <w:suppressAutoHyphens/>
        <w:spacing w:after="200"/>
        <w:ind w:left="1276" w:hanging="709"/>
        <w:rPr>
          <w:rFonts w:ascii="Times New Roman" w:eastAsia="DengXian" w:hAnsi="Times New Roman"/>
          <w:sz w:val="20"/>
          <w:szCs w:val="20"/>
        </w:rPr>
      </w:pPr>
      <w:r w:rsidRPr="00FD0E8A">
        <w:rPr>
          <w:rFonts w:ascii="Times New Roman" w:eastAsia="DengXian" w:hAnsi="Times New Roman"/>
          <w:sz w:val="20"/>
          <w:szCs w:val="20"/>
        </w:rPr>
        <w:t>(c)</w:t>
      </w:r>
      <w:r w:rsidRPr="00FD0E8A">
        <w:rPr>
          <w:rFonts w:ascii="Times New Roman" w:eastAsia="DengXian" w:hAnsi="Times New Roman"/>
          <w:sz w:val="20"/>
          <w:szCs w:val="20"/>
        </w:rPr>
        <w:tab/>
        <w:t>in the event the Guarantor or an Affiliate of the Guarantor becomes subject to a proceeding under a U.S. Special Resolution Regime, Default Rights with respect to this Guarantee that may be exercised against the Guarantor are permitted to be exercised to no greater extent than the Default Rights could be exercised under the U.S. Special Resolution Regime if this Guarantee were governed by the laws of the United States or a state of the United States; and</w:t>
      </w:r>
    </w:p>
    <w:p w14:paraId="758233BB" w14:textId="3A7A971F" w:rsidR="00FD0E8A" w:rsidRPr="00FD0E8A" w:rsidRDefault="00FD0E8A" w:rsidP="00FD0E8A">
      <w:pPr>
        <w:suppressAutoHyphens/>
        <w:spacing w:after="200"/>
        <w:ind w:left="1276" w:hanging="709"/>
        <w:rPr>
          <w:rFonts w:ascii="Times New Roman" w:eastAsia="DengXian" w:hAnsi="Times New Roman"/>
          <w:sz w:val="20"/>
          <w:szCs w:val="20"/>
        </w:rPr>
      </w:pPr>
      <w:r w:rsidRPr="00FD0E8A">
        <w:rPr>
          <w:rFonts w:ascii="Times New Roman" w:eastAsia="DengXian" w:hAnsi="Times New Roman"/>
          <w:sz w:val="20"/>
          <w:szCs w:val="20"/>
        </w:rPr>
        <w:t>(d)</w:t>
      </w:r>
      <w:r w:rsidRPr="00FD0E8A">
        <w:rPr>
          <w:rFonts w:ascii="Times New Roman" w:eastAsia="DengXian" w:hAnsi="Times New Roman"/>
          <w:sz w:val="20"/>
          <w:szCs w:val="20"/>
        </w:rPr>
        <w:tab/>
        <w:t>if, after the date of this Guarantee, both parties hereto shall have become adhering parties to the ISDA 2018 U.S. Resolution Stay Protocol, as published by the International Swaps and Derivatives Association, Inc. as of 31 July 2018 (the "</w:t>
      </w:r>
      <w:r w:rsidRPr="00FD0E8A">
        <w:rPr>
          <w:rFonts w:ascii="Times New Roman" w:eastAsia="DengXian" w:hAnsi="Times New Roman"/>
          <w:b/>
          <w:bCs/>
          <w:sz w:val="20"/>
          <w:szCs w:val="20"/>
        </w:rPr>
        <w:t>ISDA U.S. QFC Protocol</w:t>
      </w:r>
      <w:r w:rsidRPr="00FD0E8A">
        <w:rPr>
          <w:rFonts w:ascii="Times New Roman" w:eastAsia="DengXian" w:hAnsi="Times New Roman"/>
          <w:sz w:val="20"/>
          <w:szCs w:val="20"/>
        </w:rPr>
        <w:t>"), the terms of the ISDA U.S. QFC Protocol will supersede and replace this clause 12.</w:t>
      </w:r>
    </w:p>
    <w:p w14:paraId="1F078426" w14:textId="77777777" w:rsidR="00FD0E8A" w:rsidRPr="00FD0E8A" w:rsidRDefault="00FD0E8A" w:rsidP="00FD0E8A">
      <w:pPr>
        <w:suppressAutoHyphens/>
        <w:spacing w:after="200"/>
        <w:ind w:left="567"/>
        <w:rPr>
          <w:rFonts w:ascii="Times New Roman" w:eastAsia="DengXian" w:hAnsi="Times New Roman"/>
          <w:sz w:val="20"/>
          <w:szCs w:val="20"/>
        </w:rPr>
      </w:pPr>
      <w:r w:rsidRPr="00FD0E8A">
        <w:rPr>
          <w:rFonts w:ascii="Times New Roman" w:eastAsia="DengXian" w:hAnsi="Times New Roman"/>
          <w:sz w:val="20"/>
          <w:szCs w:val="20"/>
        </w:rPr>
        <w:t>For purposes of this clause 12, the following terms have the following meanings:</w:t>
      </w:r>
    </w:p>
    <w:p w14:paraId="7E6558FA" w14:textId="6AF0021A" w:rsidR="00FD0E8A" w:rsidRPr="00FD0E8A" w:rsidRDefault="00FD0E8A" w:rsidP="00FD0E8A">
      <w:pPr>
        <w:suppressAutoHyphens/>
        <w:spacing w:after="200"/>
        <w:ind w:left="567"/>
        <w:rPr>
          <w:rFonts w:ascii="Times New Roman" w:eastAsia="DengXian" w:hAnsi="Times New Roman"/>
          <w:sz w:val="20"/>
          <w:szCs w:val="20"/>
        </w:rPr>
      </w:pPr>
      <w:r w:rsidRPr="00FD0E8A">
        <w:rPr>
          <w:rFonts w:ascii="Times New Roman" w:eastAsia="DengXian" w:hAnsi="Times New Roman"/>
          <w:sz w:val="20"/>
          <w:szCs w:val="20"/>
        </w:rPr>
        <w:lastRenderedPageBreak/>
        <w:t>"</w:t>
      </w:r>
      <w:r w:rsidRPr="00FD0E8A">
        <w:rPr>
          <w:rFonts w:ascii="Times New Roman" w:eastAsia="DengXian" w:hAnsi="Times New Roman"/>
          <w:b/>
          <w:bCs/>
          <w:sz w:val="20"/>
          <w:szCs w:val="20"/>
        </w:rPr>
        <w:t>Affiliate</w:t>
      </w:r>
      <w:r w:rsidRPr="00FD0E8A">
        <w:rPr>
          <w:rFonts w:ascii="Times New Roman" w:eastAsia="DengXian" w:hAnsi="Times New Roman"/>
          <w:sz w:val="20"/>
          <w:szCs w:val="20"/>
        </w:rPr>
        <w:t>" has the meaning given in section 2(k) of the Bank Holding Company Act (12 U.S.C. 1841(k)) and section 225.2(a) of the Board's Regulation Y (12 CFR 225.2(a)).</w:t>
      </w:r>
    </w:p>
    <w:p w14:paraId="11137159" w14:textId="148D98AF" w:rsidR="00FD0E8A" w:rsidRPr="00FD0E8A" w:rsidRDefault="00FD0E8A" w:rsidP="00FD0E8A">
      <w:pPr>
        <w:suppressAutoHyphens/>
        <w:spacing w:after="200"/>
        <w:ind w:left="567"/>
        <w:rPr>
          <w:rFonts w:ascii="Times New Roman" w:eastAsia="DengXian" w:hAnsi="Times New Roman"/>
          <w:sz w:val="20"/>
          <w:szCs w:val="20"/>
        </w:rPr>
      </w:pPr>
      <w:r w:rsidRPr="00FD0E8A">
        <w:rPr>
          <w:rFonts w:ascii="Times New Roman" w:eastAsia="DengXian" w:hAnsi="Times New Roman"/>
          <w:sz w:val="20"/>
          <w:szCs w:val="20"/>
        </w:rPr>
        <w:t>"</w:t>
      </w:r>
      <w:r w:rsidRPr="00FD0E8A">
        <w:rPr>
          <w:rFonts w:ascii="Times New Roman" w:eastAsia="DengXian" w:hAnsi="Times New Roman"/>
          <w:b/>
          <w:bCs/>
          <w:sz w:val="20"/>
          <w:szCs w:val="20"/>
        </w:rPr>
        <w:t>Default Right</w:t>
      </w:r>
      <w:r w:rsidRPr="00FD0E8A">
        <w:rPr>
          <w:rFonts w:ascii="Times New Roman" w:eastAsia="DengXian" w:hAnsi="Times New Roman"/>
          <w:sz w:val="20"/>
          <w:szCs w:val="20"/>
        </w:rPr>
        <w:t>" means any: (i) right of a party, whether contractual or otherwise (including, without limitation, rights incorporated by reference to any other contract, agreement, or document, and rights afforded by statute, civil code, regulation, and common law), to liquidate, terminate, cancel, rescind, or accelerate such agreement or transactions thereunder, set off or net amounts owing in respect thereto (except rights related to same day payment netting), exercise remedies in respect of collateral or other credit support or property related thereto (including the purchase and sale of property), demand payment or delivery thereunder or in respect thereof (other than a right or operation of a contractual provision arising solely from a change in the value of collateral or margin or a change in the amount of an economic exposure), suspend, delay, or defer payment or performance thereunder, or modify the obligations of a party thereunder, or any similar rights; and (ii) right or contractual provision that alters the amount of collateral or margin that must be provided with respect to an exposure thereunder, including by altering any initial amount, threshold amount, variation margin, minimum transfer amount, the margin value of collateral, or any similar amount, that entitles a party to demand the return of any collateral or margin transferred by it to the other party or a custodian or that modifies a transferee's right to reuse collateral or margin (if such right previously existed), or any similar rights, in each case, other than a right or operation of a contractual provision arising solely from a change in the value of collateral or margin or a change in the amount of an economic exposure.</w:t>
      </w:r>
    </w:p>
    <w:p w14:paraId="31F026FE" w14:textId="17272128" w:rsidR="00FD0E8A" w:rsidRPr="00FD0E8A" w:rsidRDefault="00FD0E8A" w:rsidP="00FD0E8A">
      <w:pPr>
        <w:suppressAutoHyphens/>
        <w:spacing w:after="200"/>
        <w:ind w:left="567"/>
        <w:rPr>
          <w:rFonts w:ascii="Times New Roman" w:eastAsia="DengXian" w:hAnsi="Times New Roman"/>
          <w:sz w:val="20"/>
          <w:szCs w:val="20"/>
        </w:rPr>
      </w:pPr>
      <w:r w:rsidRPr="00FD0E8A">
        <w:rPr>
          <w:rFonts w:ascii="Times New Roman" w:eastAsia="DengXian" w:hAnsi="Times New Roman"/>
          <w:sz w:val="20"/>
          <w:szCs w:val="20"/>
        </w:rPr>
        <w:t>"</w:t>
      </w:r>
      <w:r w:rsidRPr="00FD0E8A">
        <w:rPr>
          <w:rFonts w:ascii="Times New Roman" w:eastAsia="DengXian" w:hAnsi="Times New Roman"/>
          <w:b/>
          <w:bCs/>
          <w:sz w:val="20"/>
          <w:szCs w:val="20"/>
        </w:rPr>
        <w:t>U.S. Special Resolution Regime</w:t>
      </w:r>
      <w:r w:rsidRPr="00FD0E8A">
        <w:rPr>
          <w:rFonts w:ascii="Times New Roman" w:eastAsia="DengXian" w:hAnsi="Times New Roman"/>
          <w:sz w:val="20"/>
          <w:szCs w:val="20"/>
        </w:rPr>
        <w:t>" means the Federal Deposit Insurance Act (12 U.S.C. 1811–1835a) and regulations promulgated thereunder and Title II of the Dodd-Frank Wall Street Reform and Consumer Protection Act (12 U.S.C. 5381–5394) and regulations promulgated thereunder.</w:t>
      </w:r>
    </w:p>
    <w:p w14:paraId="6514B8EF" w14:textId="77777777" w:rsidR="00FD0E8A" w:rsidRPr="00FD0E8A" w:rsidRDefault="00FD0E8A" w:rsidP="00FD0E8A">
      <w:pPr>
        <w:pStyle w:val="AltH1OCAshurst"/>
        <w:numPr>
          <w:ilvl w:val="0"/>
          <w:numId w:val="50"/>
        </w:numPr>
        <w:tabs>
          <w:tab w:val="clear" w:pos="3277"/>
        </w:tabs>
        <w:ind w:left="1276"/>
        <w:rPr>
          <w:b/>
        </w:rPr>
      </w:pPr>
      <w:r w:rsidRPr="00FD0E8A">
        <w:rPr>
          <w:b/>
        </w:rPr>
        <w:t>Jurisdiction</w:t>
      </w:r>
    </w:p>
    <w:p w14:paraId="6707A0C8" w14:textId="77777777" w:rsidR="00FD0E8A" w:rsidRPr="00FD0E8A" w:rsidRDefault="00FD0E8A" w:rsidP="00FD0E8A">
      <w:pPr>
        <w:pStyle w:val="NormalOCAshurst"/>
        <w:ind w:left="567"/>
      </w:pPr>
      <w:r w:rsidRPr="00FD0E8A">
        <w:t xml:space="preserve">This clause 13 is for the benefit of the Beneficiaries only. Subject as provided below, the courts of England shall have exclusive jurisdiction to settle any disputes which may, directly or indirectly, arise out of or in connection with this Guarantee including a dispute relating to any non-contractual obligations arising out of or in connection herewith and accordingly the Guarantor submits to the exclusive jurisdiction of the English courts to hear all suits, actions or proceedings (together hereinafter termed the </w:t>
      </w:r>
      <w:r w:rsidRPr="00FD0E8A">
        <w:rPr>
          <w:b/>
        </w:rPr>
        <w:t>"Proceedings"</w:t>
      </w:r>
      <w:r w:rsidRPr="00FD0E8A">
        <w:t>) relating to any such dispute. The Guarantor waives any objection to the courts of England on the grounds that they are an inconvenient or inappropriate forum. Nothing in this clause 13 shall limit the rights of the Beneficiaries to take any Proceedings against the Guarantor in any other court of competent jurisdiction and concurrent Proceedings in any number of jurisdictions.</w:t>
      </w:r>
    </w:p>
    <w:p w14:paraId="2AB01171" w14:textId="77777777" w:rsidR="00FD0E8A" w:rsidRPr="00FD0E8A" w:rsidRDefault="00FD0E8A" w:rsidP="00FD0E8A">
      <w:pPr>
        <w:pStyle w:val="AltH1OCAshurst"/>
        <w:numPr>
          <w:ilvl w:val="0"/>
          <w:numId w:val="50"/>
        </w:numPr>
        <w:tabs>
          <w:tab w:val="clear" w:pos="3277"/>
        </w:tabs>
        <w:ind w:left="1276"/>
        <w:rPr>
          <w:b/>
        </w:rPr>
      </w:pPr>
      <w:r w:rsidRPr="00FD0E8A">
        <w:rPr>
          <w:b/>
        </w:rPr>
        <w:t>Service of Process</w:t>
      </w:r>
    </w:p>
    <w:p w14:paraId="3F99EE66" w14:textId="77777777" w:rsidR="00FD0E8A" w:rsidRPr="00FD0E8A" w:rsidRDefault="00FD0E8A" w:rsidP="00FD0E8A">
      <w:pPr>
        <w:pStyle w:val="NormalOCAshurst"/>
        <w:ind w:left="567"/>
      </w:pPr>
      <w:r w:rsidRPr="00FD0E8A">
        <w:t>The Guarantor agrees that service of process in England may be made on it at its London Branch. Nothing in this Guarantee shall affect the right to serve process in any other manner permitted by law.</w:t>
      </w:r>
    </w:p>
    <w:p w14:paraId="0F5B8A70" w14:textId="77777777" w:rsidR="00FD0E8A" w:rsidRPr="00FD0E8A" w:rsidRDefault="00FD0E8A" w:rsidP="00FD0E8A">
      <w:pPr>
        <w:pStyle w:val="AltH1OCAshurst"/>
        <w:numPr>
          <w:ilvl w:val="0"/>
          <w:numId w:val="50"/>
        </w:numPr>
        <w:tabs>
          <w:tab w:val="clear" w:pos="3277"/>
        </w:tabs>
        <w:ind w:left="1276"/>
        <w:rPr>
          <w:b/>
        </w:rPr>
      </w:pPr>
      <w:r w:rsidRPr="00FD0E8A">
        <w:rPr>
          <w:b/>
        </w:rPr>
        <w:t>Contracts (Rights of Third Parties) Act 1999</w:t>
      </w:r>
    </w:p>
    <w:p w14:paraId="45DA93D3" w14:textId="139CDDC9" w:rsidR="00FD0E8A" w:rsidRPr="00FD0E8A" w:rsidRDefault="00FD0E8A" w:rsidP="00FD0E8A">
      <w:pPr>
        <w:pStyle w:val="NormalOCAshurst"/>
        <w:ind w:left="567"/>
      </w:pPr>
      <w:r w:rsidRPr="00FD0E8A">
        <w:t>No rights are conferred on any person under the Contracts (Rights of Third Parties) Act 1999 to enforce any term of this Guarantee, but this does not affect any right or remedy of any person which exists or is available apart from that Act.</w:t>
      </w:r>
      <w:r>
        <w:t>"</w:t>
      </w:r>
    </w:p>
    <w:p w14:paraId="53AC7855" w14:textId="40B9BCB1" w:rsidR="00CE64E3" w:rsidRPr="00F73E12" w:rsidRDefault="00CE64E3" w:rsidP="00CE64E3">
      <w:pPr>
        <w:pStyle w:val="NormalAshurst"/>
        <w:ind w:left="567" w:hanging="567"/>
        <w:rPr>
          <w:rFonts w:ascii="Times New Roman" w:hAnsi="Times New Roman" w:cs="Times New Roman"/>
          <w:b/>
          <w:sz w:val="20"/>
          <w:szCs w:val="20"/>
        </w:rPr>
      </w:pPr>
      <w:r w:rsidRPr="005B3787">
        <w:rPr>
          <w:rFonts w:ascii="Times New Roman" w:hAnsi="Times New Roman"/>
          <w:b/>
          <w:sz w:val="20"/>
        </w:rPr>
        <w:t>I</w:t>
      </w:r>
      <w:r>
        <w:rPr>
          <w:rFonts w:ascii="Times New Roman" w:hAnsi="Times New Roman"/>
          <w:b/>
          <w:sz w:val="20"/>
        </w:rPr>
        <w:t>II</w:t>
      </w:r>
      <w:r w:rsidRPr="005B3787">
        <w:rPr>
          <w:rFonts w:ascii="Times New Roman" w:hAnsi="Times New Roman"/>
          <w:b/>
          <w:sz w:val="20"/>
        </w:rPr>
        <w:t>.</w:t>
      </w:r>
      <w:r w:rsidRPr="005B3787">
        <w:rPr>
          <w:rFonts w:ascii="Times New Roman" w:hAnsi="Times New Roman"/>
          <w:b/>
          <w:sz w:val="20"/>
        </w:rPr>
        <w:tab/>
      </w:r>
      <w:r>
        <w:rPr>
          <w:rFonts w:ascii="Times New Roman" w:hAnsi="Times New Roman"/>
          <w:b/>
          <w:sz w:val="20"/>
        </w:rPr>
        <w:t xml:space="preserve">Amendments to </w:t>
      </w:r>
      <w:r w:rsidRPr="00CE64E3">
        <w:rPr>
          <w:rFonts w:ascii="Times New Roman" w:hAnsi="Times New Roman"/>
          <w:b/>
          <w:sz w:val="20"/>
        </w:rPr>
        <w:t xml:space="preserve">Limitations of the JPMorgan Chase </w:t>
      </w:r>
      <w:r>
        <w:rPr>
          <w:rFonts w:ascii="Times New Roman" w:hAnsi="Times New Roman"/>
          <w:b/>
          <w:sz w:val="20"/>
        </w:rPr>
        <w:t>&amp; Co.</w:t>
      </w:r>
      <w:r w:rsidRPr="00CE64E3">
        <w:rPr>
          <w:rFonts w:ascii="Times New Roman" w:hAnsi="Times New Roman"/>
          <w:b/>
          <w:sz w:val="20"/>
        </w:rPr>
        <w:t xml:space="preserve"> Guarantee and Form of JPMorgan Chase </w:t>
      </w:r>
      <w:r>
        <w:rPr>
          <w:rFonts w:ascii="Times New Roman" w:hAnsi="Times New Roman"/>
          <w:b/>
          <w:sz w:val="20"/>
        </w:rPr>
        <w:t>&amp; Co.</w:t>
      </w:r>
      <w:r w:rsidRPr="00CE64E3">
        <w:rPr>
          <w:rFonts w:ascii="Times New Roman" w:hAnsi="Times New Roman"/>
          <w:b/>
          <w:sz w:val="20"/>
        </w:rPr>
        <w:t xml:space="preserve"> Guarantee</w:t>
      </w:r>
    </w:p>
    <w:p w14:paraId="4EA60A1F" w14:textId="341B9741" w:rsidR="00F73E12" w:rsidRPr="00F73E12" w:rsidRDefault="00F73E12" w:rsidP="00F73E12">
      <w:pPr>
        <w:pStyle w:val="NormalAshurst"/>
        <w:ind w:left="567"/>
        <w:rPr>
          <w:rFonts w:ascii="Times New Roman" w:hAnsi="Times New Roman" w:cs="Times New Roman"/>
          <w:bCs/>
          <w:sz w:val="20"/>
          <w:szCs w:val="20"/>
        </w:rPr>
      </w:pPr>
      <w:r w:rsidRPr="00F73E12">
        <w:rPr>
          <w:rFonts w:ascii="Times New Roman" w:hAnsi="Times New Roman" w:cs="Times New Roman"/>
          <w:bCs/>
          <w:sz w:val="20"/>
          <w:szCs w:val="20"/>
        </w:rPr>
        <w:t>The form of guarantee given by JPMorgan Chase &amp; Co. in respect of Securities issued JPMorgan Chase Financial Company LLC on pages 607 to 611 of the Original Offering Circular shall be deleted in its entirety and replaced with the following:</w:t>
      </w:r>
    </w:p>
    <w:p w14:paraId="128FBF81" w14:textId="68BAB3EA" w:rsidR="00F73E12" w:rsidRPr="00F73E12" w:rsidRDefault="00F73E12" w:rsidP="00F73E12">
      <w:pPr>
        <w:pStyle w:val="NormalOCAshurst"/>
        <w:jc w:val="center"/>
        <w:rPr>
          <w:b/>
        </w:rPr>
      </w:pPr>
      <w:r>
        <w:rPr>
          <w:bCs/>
        </w:rPr>
        <w:t>"</w:t>
      </w:r>
      <w:r w:rsidRPr="00F73E12">
        <w:rPr>
          <w:b/>
        </w:rPr>
        <w:t>JPMORGAN CHASE &amp; CO. GUARANTEE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6"/>
        <w:gridCol w:w="7661"/>
      </w:tblGrid>
      <w:tr w:rsidR="00F73E12" w:rsidRPr="00F73E12" w14:paraId="5E946C3F" w14:textId="77777777" w:rsidTr="002033C0">
        <w:tc>
          <w:tcPr>
            <w:tcW w:w="1384" w:type="dxa"/>
          </w:tcPr>
          <w:p w14:paraId="2FB272D5" w14:textId="77777777" w:rsidR="00F73E12" w:rsidRPr="00F73E12" w:rsidRDefault="00F73E12" w:rsidP="002033C0">
            <w:pPr>
              <w:pStyle w:val="NormalOCAshurst"/>
            </w:pPr>
            <w:r w:rsidRPr="00F73E12">
              <w:lastRenderedPageBreak/>
              <w:t>To:</w:t>
            </w:r>
          </w:p>
        </w:tc>
        <w:tc>
          <w:tcPr>
            <w:tcW w:w="7796" w:type="dxa"/>
          </w:tcPr>
          <w:p w14:paraId="6BEC2D58" w14:textId="77777777" w:rsidR="00F73E12" w:rsidRPr="00F73E12" w:rsidRDefault="00F73E12" w:rsidP="002033C0">
            <w:pPr>
              <w:pStyle w:val="NormalOCAshurst"/>
            </w:pPr>
            <w:r w:rsidRPr="00F73E12">
              <w:t>The Holders of all Securities issued by JPMorgan Chase Financial Company LLC under the Programme Documents (as defined below) on or after the date hereof</w:t>
            </w:r>
          </w:p>
        </w:tc>
      </w:tr>
    </w:tbl>
    <w:p w14:paraId="7F09A0A6" w14:textId="52D1DD2F" w:rsidR="00F73E12" w:rsidRPr="00F73E12" w:rsidRDefault="00F73E12" w:rsidP="00F73E12">
      <w:pPr>
        <w:pStyle w:val="NormalOCAshurst"/>
      </w:pPr>
      <w:r w:rsidRPr="00F73E12">
        <w:t xml:space="preserve">JPMorgan Chase Financial Company LLC, a limited liability company incorporated under the laws of the State of Delaware, U.S.A. (the </w:t>
      </w:r>
      <w:r w:rsidRPr="00F73E12">
        <w:rPr>
          <w:b/>
          <w:bCs/>
        </w:rPr>
        <w:t>"</w:t>
      </w:r>
      <w:r w:rsidRPr="00F73E12">
        <w:rPr>
          <w:b/>
        </w:rPr>
        <w:t>Obligor</w:t>
      </w:r>
      <w:r w:rsidRPr="00F73E12">
        <w:rPr>
          <w:b/>
          <w:bCs/>
        </w:rPr>
        <w:t>"</w:t>
      </w:r>
      <w:r w:rsidRPr="00F73E12">
        <w:t xml:space="preserve">), may from time to time issue Notes and Certificates (each as defined in the Agency Agreement described below) in each case under the Structured Products Programme for the issuance of Notes, Warrants and Certificates (the </w:t>
      </w:r>
      <w:r w:rsidRPr="00F73E12">
        <w:rPr>
          <w:b/>
          <w:bCs/>
        </w:rPr>
        <w:t>"</w:t>
      </w:r>
      <w:r w:rsidRPr="00F73E12">
        <w:rPr>
          <w:b/>
        </w:rPr>
        <w:t>Programme</w:t>
      </w:r>
      <w:r w:rsidRPr="00F73E12">
        <w:rPr>
          <w:b/>
          <w:bCs/>
        </w:rPr>
        <w:t>"</w:t>
      </w:r>
      <w:r w:rsidRPr="00F73E12">
        <w:t xml:space="preserve"> and such Notes and Certificates, the </w:t>
      </w:r>
      <w:r w:rsidRPr="00F73E12">
        <w:rPr>
          <w:b/>
          <w:bCs/>
        </w:rPr>
        <w:t>"</w:t>
      </w:r>
      <w:r w:rsidRPr="00F73E12">
        <w:rPr>
          <w:b/>
        </w:rPr>
        <w:t>Securities</w:t>
      </w:r>
      <w:r w:rsidRPr="00F73E12">
        <w:rPr>
          <w:b/>
          <w:bCs/>
        </w:rPr>
        <w:t>"</w:t>
      </w:r>
      <w:r w:rsidRPr="00F73E12">
        <w:t xml:space="preserve"> and each a </w:t>
      </w:r>
      <w:r w:rsidRPr="00F73E12">
        <w:rPr>
          <w:b/>
          <w:bCs/>
        </w:rPr>
        <w:t>"</w:t>
      </w:r>
      <w:r w:rsidRPr="00F73E12">
        <w:rPr>
          <w:b/>
        </w:rPr>
        <w:t>Security</w:t>
      </w:r>
      <w:r w:rsidRPr="00F73E12">
        <w:rPr>
          <w:b/>
          <w:bCs/>
        </w:rPr>
        <w:t>"</w:t>
      </w:r>
      <w:r w:rsidRPr="00F73E12">
        <w:t xml:space="preserve">) (each Holder (as defined in the Conditions) of Securities issued by the Obligor, a </w:t>
      </w:r>
      <w:r w:rsidRPr="00F73E12">
        <w:rPr>
          <w:b/>
          <w:bCs/>
        </w:rPr>
        <w:t>"</w:t>
      </w:r>
      <w:r w:rsidRPr="00F73E12">
        <w:rPr>
          <w:b/>
        </w:rPr>
        <w:t>Beneficiary</w:t>
      </w:r>
      <w:r w:rsidRPr="00F73E12">
        <w:rPr>
          <w:b/>
          <w:bCs/>
        </w:rPr>
        <w:t>"</w:t>
      </w:r>
      <w:r w:rsidRPr="00F73E12">
        <w:t xml:space="preserve"> and together, the </w:t>
      </w:r>
      <w:r w:rsidRPr="00F73E12">
        <w:rPr>
          <w:b/>
          <w:bCs/>
        </w:rPr>
        <w:t>"</w:t>
      </w:r>
      <w:r w:rsidRPr="00F73E12">
        <w:rPr>
          <w:b/>
        </w:rPr>
        <w:t>Beneficiaries</w:t>
      </w:r>
      <w:r w:rsidRPr="00F73E12">
        <w:rPr>
          <w:b/>
          <w:bCs/>
        </w:rPr>
        <w:t>"</w:t>
      </w:r>
      <w:r w:rsidRPr="00F73E12">
        <w:t xml:space="preserve">), pursuant to (a) (i) (except in the case of Swiss Certificates (UBS-cleared)) an amended and restated agency agreement dated 17 April 2025, as amended by a supplemental agency agreement dated </w:t>
      </w:r>
      <w:r w:rsidR="00D81DB4">
        <w:t>6</w:t>
      </w:r>
      <w:r w:rsidRPr="00F73E12">
        <w:t xml:space="preserve"> August 2025 among the Obligor, the Guarantor, J.P. Morgan Structured Products B.V., JPMorgan Chase Bank, N.A., The Bank of New York Mellon, London Branch (the </w:t>
      </w:r>
      <w:r w:rsidRPr="00F73E12">
        <w:rPr>
          <w:b/>
          <w:bCs/>
        </w:rPr>
        <w:t>"</w:t>
      </w:r>
      <w:r w:rsidRPr="00F73E12">
        <w:rPr>
          <w:b/>
        </w:rPr>
        <w:t>Principal Programme Agent</w:t>
      </w:r>
      <w:r w:rsidRPr="00F73E12">
        <w:rPr>
          <w:b/>
          <w:bCs/>
        </w:rPr>
        <w:t>"</w:t>
      </w:r>
      <w:r w:rsidRPr="00F73E12">
        <w:t>), The Bank of New York Mellon S.A./N.V., Luxembourg Branch, J.P. Morgan Securities plc (</w:t>
      </w:r>
      <w:r w:rsidRPr="00F73E12">
        <w:rPr>
          <w:b/>
          <w:bCs/>
        </w:rPr>
        <w:t>"</w:t>
      </w:r>
      <w:r w:rsidRPr="00F73E12">
        <w:rPr>
          <w:b/>
        </w:rPr>
        <w:t>JPMS plc</w:t>
      </w:r>
      <w:r w:rsidRPr="00F73E12">
        <w:rPr>
          <w:b/>
          <w:bCs/>
        </w:rPr>
        <w:t>"</w:t>
      </w:r>
      <w:r w:rsidRPr="00F73E12">
        <w:t xml:space="preserve">), Skandinaviska Enskilda Banken AB (publ), BNP Paribas S.A., UBS AG and UBS Switzerland AG as may be amended and/or restated and/or replaced from time to time (the </w:t>
      </w:r>
      <w:r w:rsidRPr="00F73E12">
        <w:rPr>
          <w:b/>
          <w:bCs/>
        </w:rPr>
        <w:t>"</w:t>
      </w:r>
      <w:r w:rsidRPr="00F73E12">
        <w:rPr>
          <w:b/>
        </w:rPr>
        <w:t>Agency Agreement</w:t>
      </w:r>
      <w:r w:rsidRPr="00F73E12">
        <w:rPr>
          <w:b/>
          <w:bCs/>
        </w:rPr>
        <w:t>"</w:t>
      </w:r>
      <w:r w:rsidRPr="00F73E12">
        <w:t>) and (ii) in the case of Swiss Certificates (UBS-cleared) only, the SPI Agreement between JPMS plc and UBS Switzerland AG (as described in "</w:t>
      </w:r>
      <w:r w:rsidRPr="00F73E12">
        <w:rPr>
          <w:i/>
          <w:iCs/>
        </w:rPr>
        <w:t>Terms and Conditions of the Securities</w:t>
      </w:r>
      <w:r w:rsidRPr="00F73E12">
        <w:t xml:space="preserve">"), with the benefit of (b) (to the extent such Securities are governed by English law and except in the case of Swiss Certificates (UBS-cleared)) a deed of covenant dated 17 April 2025, as amended by a supplemental deed of covenant dated </w:t>
      </w:r>
      <w:r w:rsidR="00D81DB4">
        <w:t>6</w:t>
      </w:r>
      <w:r w:rsidRPr="00F73E12">
        <w:t xml:space="preserve"> August 2025 executed by the Obligor as may be amended and/or restated and/or replaced from time to time and (c) this guarantee (the </w:t>
      </w:r>
      <w:r w:rsidRPr="00F73E12">
        <w:rPr>
          <w:b/>
          <w:bCs/>
        </w:rPr>
        <w:t>"</w:t>
      </w:r>
      <w:r w:rsidRPr="00F73E12">
        <w:rPr>
          <w:b/>
        </w:rPr>
        <w:t>Guarantee</w:t>
      </w:r>
      <w:r w:rsidRPr="00F73E12">
        <w:rPr>
          <w:b/>
          <w:bCs/>
        </w:rPr>
        <w:t>"</w:t>
      </w:r>
      <w:r w:rsidRPr="00F73E12">
        <w:t xml:space="preserve">), under the Conditions (as defined in the Agency Agreement) and such Securities may be subscribed by Dealers in accordance with (d) an amended and restated programme agreement dated 17 April 2025, as amended by a supplemental programme agreement dated </w:t>
      </w:r>
      <w:r w:rsidR="00D81DB4">
        <w:t>6</w:t>
      </w:r>
      <w:r w:rsidRPr="00F73E12">
        <w:t xml:space="preserve"> August 2025 between, amongst others, the Obligor and JPMS plc as may be amended and/or restated and/or replaced from time to time (the foregoing, together, the </w:t>
      </w:r>
      <w:r w:rsidRPr="00F73E12">
        <w:rPr>
          <w:b/>
          <w:bCs/>
        </w:rPr>
        <w:t>"</w:t>
      </w:r>
      <w:r w:rsidRPr="00F73E12">
        <w:rPr>
          <w:b/>
        </w:rPr>
        <w:t>Programme Documents</w:t>
      </w:r>
      <w:r w:rsidRPr="00F73E12">
        <w:rPr>
          <w:b/>
          <w:bCs/>
        </w:rPr>
        <w:t>"</w:t>
      </w:r>
      <w:r w:rsidRPr="00F73E12">
        <w:t>).</w:t>
      </w:r>
    </w:p>
    <w:p w14:paraId="2F64F27F" w14:textId="77777777" w:rsidR="00F73E12" w:rsidRPr="00F73E12" w:rsidRDefault="00F73E12" w:rsidP="00F73E12">
      <w:pPr>
        <w:pStyle w:val="NormalOCAshurst"/>
      </w:pPr>
      <w:r w:rsidRPr="00F73E12">
        <w:t>Now, therefore, for good value and consideration, the receipt and sufficiency of which are hereby acknowledged, the Guarantor hereby agrees as follows:</w:t>
      </w:r>
    </w:p>
    <w:p w14:paraId="4EB7C515" w14:textId="77777777" w:rsidR="00F73E12" w:rsidRPr="00F73E12" w:rsidRDefault="00F73E12" w:rsidP="00F73E12">
      <w:pPr>
        <w:pStyle w:val="AltBH1OCAshurst"/>
        <w:numPr>
          <w:ilvl w:val="3"/>
          <w:numId w:val="52"/>
        </w:numPr>
        <w:ind w:left="709" w:hanging="709"/>
      </w:pPr>
      <w:r w:rsidRPr="00F73E12">
        <w:t>Guarantee</w:t>
      </w:r>
    </w:p>
    <w:p w14:paraId="7B109363" w14:textId="2D76AF5F" w:rsidR="00F73E12" w:rsidRPr="00F73E12" w:rsidRDefault="00F73E12" w:rsidP="00F73E12">
      <w:pPr>
        <w:pStyle w:val="NormalOCAshurst"/>
      </w:pPr>
      <w:r w:rsidRPr="00F73E12">
        <w:t xml:space="preserve">JPMorgan Chase &amp; Co. (the </w:t>
      </w:r>
      <w:r w:rsidRPr="00F73E12">
        <w:rPr>
          <w:b/>
          <w:bCs/>
        </w:rPr>
        <w:t>"</w:t>
      </w:r>
      <w:r w:rsidRPr="00F73E12">
        <w:rPr>
          <w:b/>
        </w:rPr>
        <w:t>Guarantor</w:t>
      </w:r>
      <w:r w:rsidRPr="00F73E12">
        <w:rPr>
          <w:b/>
          <w:bCs/>
        </w:rPr>
        <w:t>"</w:t>
      </w:r>
      <w:r w:rsidRPr="00F73E12">
        <w:t xml:space="preserve">), subject to the terms hereof, hereby irrevocably, fully and unconditionally guarantees, on an unsecured basis, the full and punctual payment (whether at the stated maturity or upon redemption or acceleration) of the principal of, interest on, and all other amounts payable in respect of any Security issued by the Obligor on or after the date hereof (subject as provided in clause </w:t>
      </w:r>
      <w:r w:rsidRPr="00F73E12">
        <w:fldChar w:fldCharType="begin"/>
      </w:r>
      <w:r w:rsidRPr="00F73E12">
        <w:instrText xml:space="preserve"> REF _Ref496731115 \r \h  \* MERGEFORMAT </w:instrText>
      </w:r>
      <w:r w:rsidRPr="00F73E12">
        <w:fldChar w:fldCharType="separate"/>
      </w:r>
      <w:r w:rsidR="002C068A">
        <w:rPr>
          <w:cs/>
        </w:rPr>
        <w:t>‎</w:t>
      </w:r>
      <w:r w:rsidR="002C068A">
        <w:t>12</w:t>
      </w:r>
      <w:r w:rsidRPr="00F73E12">
        <w:fldChar w:fldCharType="end"/>
      </w:r>
      <w:r w:rsidRPr="00F73E12">
        <w:t xml:space="preserve"> (</w:t>
      </w:r>
      <w:r w:rsidRPr="00F73E12">
        <w:rPr>
          <w:i/>
        </w:rPr>
        <w:t>Deposit of Guarantee and Application</w:t>
      </w:r>
      <w:r w:rsidRPr="00F73E12">
        <w:t>)) on the date such payment or performance is due in accordance with the Conditions applicable to such Security. Upon failure by the Obligor to pay punctually any such amount, the Guarantor shall forthwith on demand pay the amount not so paid at the same place and in the same manner that applies to payments made by the Obligor under the Conditions. This Guarantee is a guarantee of payment and not of collection.</w:t>
      </w:r>
    </w:p>
    <w:p w14:paraId="45F33839" w14:textId="77777777" w:rsidR="00F73E12" w:rsidRPr="00F73E12" w:rsidRDefault="00F73E12" w:rsidP="00F73E12">
      <w:pPr>
        <w:pStyle w:val="AltBH1OCAshurst"/>
        <w:numPr>
          <w:ilvl w:val="3"/>
          <w:numId w:val="52"/>
        </w:numPr>
        <w:ind w:left="709" w:hanging="709"/>
      </w:pPr>
      <w:bookmarkStart w:id="4" w:name="_Ref496732911"/>
      <w:r w:rsidRPr="00F73E12">
        <w:t>Guarantee Unconditional</w:t>
      </w:r>
      <w:bookmarkEnd w:id="4"/>
    </w:p>
    <w:p w14:paraId="1EC0B4E8" w14:textId="77777777" w:rsidR="00F73E12" w:rsidRPr="00F73E12" w:rsidRDefault="00F73E12" w:rsidP="00F73E12">
      <w:pPr>
        <w:pStyle w:val="NormalOCAshurst"/>
      </w:pPr>
      <w:r w:rsidRPr="00F73E12">
        <w:t>The obligations of the Guarantor hereunder are unconditional and absolute and, without limiting the generality of the foregoing, will not be released, discharged or otherwise affected by:</w:t>
      </w:r>
    </w:p>
    <w:p w14:paraId="61E8E5B9" w14:textId="77777777" w:rsidR="00F73E12" w:rsidRPr="00F73E12" w:rsidRDefault="00F73E12" w:rsidP="00F73E12">
      <w:pPr>
        <w:pStyle w:val="AltH3OCAshurst"/>
        <w:tabs>
          <w:tab w:val="clear" w:pos="1406"/>
          <w:tab w:val="clear" w:pos="2160"/>
          <w:tab w:val="num" w:pos="709"/>
        </w:tabs>
        <w:ind w:left="709" w:hanging="709"/>
      </w:pPr>
      <w:r w:rsidRPr="00F73E12">
        <w:t>any extension, renewal, settlement, compromise, waiver or release in respect of any obligation of the Obligor under the Conditions applicable to any Security, by operation of law or otherwise;</w:t>
      </w:r>
    </w:p>
    <w:p w14:paraId="3EC1C1F3" w14:textId="77777777" w:rsidR="00F73E12" w:rsidRPr="00F73E12" w:rsidRDefault="00F73E12" w:rsidP="00F73E12">
      <w:pPr>
        <w:pStyle w:val="AltH3OCAshurst"/>
        <w:tabs>
          <w:tab w:val="clear" w:pos="1406"/>
          <w:tab w:val="clear" w:pos="2160"/>
          <w:tab w:val="num" w:pos="709"/>
        </w:tabs>
        <w:ind w:left="709" w:hanging="709"/>
      </w:pPr>
      <w:r w:rsidRPr="00F73E12">
        <w:t>any modification or amendment of, or supplement to the Conditions applicable to any Security;</w:t>
      </w:r>
    </w:p>
    <w:p w14:paraId="2A3A55A7" w14:textId="77777777" w:rsidR="00F73E12" w:rsidRPr="00F73E12" w:rsidRDefault="00F73E12" w:rsidP="00F73E12">
      <w:pPr>
        <w:pStyle w:val="AltH3OCAshurst"/>
        <w:tabs>
          <w:tab w:val="clear" w:pos="1406"/>
          <w:tab w:val="clear" w:pos="2160"/>
          <w:tab w:val="num" w:pos="709"/>
        </w:tabs>
        <w:ind w:left="709" w:hanging="709"/>
      </w:pPr>
      <w:r w:rsidRPr="00F73E12">
        <w:t>any change in the corporate existence, structure or ownership of the Obligor, or any insolvency, bankruptcy, reorganisation or other similar proceeding affecting the Obligor or its assets or any resulting release or discharge of any obligation of the Obligor contained in the Conditions applicable to any Security;</w:t>
      </w:r>
    </w:p>
    <w:p w14:paraId="1AF4C15C" w14:textId="77777777" w:rsidR="00F73E12" w:rsidRPr="00F73E12" w:rsidRDefault="00F73E12" w:rsidP="00F73E12">
      <w:pPr>
        <w:pStyle w:val="AltH3OCAshurst"/>
        <w:tabs>
          <w:tab w:val="clear" w:pos="1406"/>
          <w:tab w:val="clear" w:pos="2160"/>
          <w:tab w:val="num" w:pos="709"/>
        </w:tabs>
        <w:ind w:left="709" w:hanging="709"/>
      </w:pPr>
      <w:r w:rsidRPr="00F73E12">
        <w:t xml:space="preserve">the existence of any claim, set-off or other rights that the Guarantor may have at any time against the Obligor or any other individual, corporation, partnership, joint venture, association, limited liability company, joint stock company, trust, unincorporated organisation or government or any agency or political subdivision thereof (a </w:t>
      </w:r>
      <w:r w:rsidRPr="00F73E12">
        <w:rPr>
          <w:b/>
          <w:bCs/>
        </w:rPr>
        <w:t>"</w:t>
      </w:r>
      <w:r w:rsidRPr="00F73E12">
        <w:rPr>
          <w:b/>
        </w:rPr>
        <w:t>Person</w:t>
      </w:r>
      <w:r w:rsidRPr="00F73E12">
        <w:rPr>
          <w:b/>
          <w:bCs/>
        </w:rPr>
        <w:t>"</w:t>
      </w:r>
      <w:r w:rsidRPr="00F73E12">
        <w:t xml:space="preserve">), whether in connection with the Conditions applicable to any Security or any unrelated transactions, </w:t>
      </w:r>
      <w:r w:rsidRPr="00F73E12">
        <w:rPr>
          <w:i/>
        </w:rPr>
        <w:t>provided</w:t>
      </w:r>
      <w:r w:rsidRPr="00F73E12">
        <w:t xml:space="preserve"> that nothing herein prevents the assertion of any such claim by separate suit or compulsory counterclaim;</w:t>
      </w:r>
    </w:p>
    <w:p w14:paraId="3AAAAA28" w14:textId="77777777" w:rsidR="00F73E12" w:rsidRPr="00F73E12" w:rsidRDefault="00F73E12" w:rsidP="00F73E12">
      <w:pPr>
        <w:pStyle w:val="AltH3OCAshurst"/>
        <w:tabs>
          <w:tab w:val="clear" w:pos="1406"/>
          <w:tab w:val="clear" w:pos="2160"/>
          <w:tab w:val="num" w:pos="709"/>
        </w:tabs>
        <w:ind w:left="709" w:hanging="709"/>
      </w:pPr>
      <w:r w:rsidRPr="00F73E12">
        <w:lastRenderedPageBreak/>
        <w:t>any invalidity or unenforceability relating to or against the Obligor for any reason of the Conditions applicable to any Security, or any provision of applicable law or regulation purporting to prohibit the payment by the Obligor of the principal of, interest on or other amounts on any Security; or</w:t>
      </w:r>
    </w:p>
    <w:p w14:paraId="404EA22A" w14:textId="77777777" w:rsidR="00F73E12" w:rsidRPr="00F73E12" w:rsidRDefault="00F73E12" w:rsidP="00F73E12">
      <w:pPr>
        <w:pStyle w:val="AltH3OCAshurst"/>
        <w:tabs>
          <w:tab w:val="clear" w:pos="1406"/>
          <w:tab w:val="clear" w:pos="2160"/>
          <w:tab w:val="num" w:pos="709"/>
        </w:tabs>
        <w:ind w:left="709" w:hanging="709"/>
      </w:pPr>
      <w:r w:rsidRPr="00F73E12">
        <w:t>subject to clause (b) of the proviso below, any other act or omission to act or delay of any kind by the Obligor or any other Person or any other circumstance whatsoever which might, but for the provisions of this paragraph, constitute a legal or equitable discharge of or defence to the Guarantor’s obligations hereunder;</w:t>
      </w:r>
    </w:p>
    <w:p w14:paraId="23AFF2BC" w14:textId="77777777" w:rsidR="00F73E12" w:rsidRPr="00F73E12" w:rsidRDefault="00F73E12" w:rsidP="00F73E12">
      <w:pPr>
        <w:pStyle w:val="AltH3OCAshurst"/>
        <w:numPr>
          <w:ilvl w:val="0"/>
          <w:numId w:val="0"/>
        </w:numPr>
      </w:pPr>
      <w:r w:rsidRPr="00F73E12">
        <w:rPr>
          <w:i/>
        </w:rPr>
        <w:t>provided</w:t>
      </w:r>
      <w:r w:rsidRPr="00F73E12">
        <w:t>, however, that:</w:t>
      </w:r>
    </w:p>
    <w:p w14:paraId="2FFFE918" w14:textId="77777777" w:rsidR="00F73E12" w:rsidRPr="00F73E12" w:rsidRDefault="00F73E12" w:rsidP="00F73E12">
      <w:pPr>
        <w:pStyle w:val="AltH3OCAshurst"/>
        <w:numPr>
          <w:ilvl w:val="2"/>
          <w:numId w:val="53"/>
        </w:numPr>
        <w:tabs>
          <w:tab w:val="clear" w:pos="2160"/>
        </w:tabs>
      </w:pPr>
      <w:r w:rsidRPr="00F73E12">
        <w:t>under no circumstances will the Guarantor be liable at any time or place to any Beneficiary under this Guarantee:</w:t>
      </w:r>
    </w:p>
    <w:p w14:paraId="079E0C8C" w14:textId="77777777" w:rsidR="00F73E12" w:rsidRPr="00F73E12" w:rsidRDefault="00F73E12" w:rsidP="00F73E12">
      <w:pPr>
        <w:pStyle w:val="AltH4OCAshurst"/>
        <w:tabs>
          <w:tab w:val="clear" w:pos="2030"/>
          <w:tab w:val="clear" w:pos="2880"/>
          <w:tab w:val="num" w:pos="1418"/>
        </w:tabs>
        <w:ind w:left="1418" w:hanging="709"/>
      </w:pPr>
      <w:r w:rsidRPr="00F73E12">
        <w:t>for any amount of any payment that the Obligor is excused from making under the Conditions applicable to any Security, for so long as the Obligor shall be excused under such terms; or</w:t>
      </w:r>
    </w:p>
    <w:p w14:paraId="55540DA2" w14:textId="77777777" w:rsidR="00F73E12" w:rsidRPr="00F73E12" w:rsidRDefault="00F73E12" w:rsidP="00F73E12">
      <w:pPr>
        <w:pStyle w:val="AltH4OCAshurst"/>
        <w:tabs>
          <w:tab w:val="clear" w:pos="2030"/>
          <w:tab w:val="clear" w:pos="2880"/>
          <w:tab w:val="num" w:pos="1418"/>
        </w:tabs>
        <w:ind w:left="1418" w:hanging="709"/>
      </w:pPr>
      <w:r w:rsidRPr="00F73E12">
        <w:t>for any amount in excess of the amount actually due and owing by the Obligor to such Beneficiary at such time and place, including but not limited to any set-off to which the Obligor would be entitled; and</w:t>
      </w:r>
    </w:p>
    <w:p w14:paraId="149BD13A" w14:textId="77777777" w:rsidR="00F73E12" w:rsidRPr="00F73E12" w:rsidRDefault="00F73E12" w:rsidP="00F73E12">
      <w:pPr>
        <w:pStyle w:val="AltH3OCAshurst"/>
        <w:numPr>
          <w:ilvl w:val="2"/>
          <w:numId w:val="53"/>
        </w:numPr>
        <w:tabs>
          <w:tab w:val="clear" w:pos="2160"/>
        </w:tabs>
      </w:pPr>
      <w:r w:rsidRPr="00F73E12">
        <w:t>in addition but not in limitation of (a) above, any defence or counterclaim of the Obligor (other than any resulting solely from, or available to the Guarantor solely on account of, the insolvency of the Obligor or the status of the Obligor as the debtor or subject of a bankruptcy or insolvency proceeding) shall also be available to the Guarantor to the same extent that such defence or counterclaim is available to the Obligor and may be asserted as a defence or counterclaim by the Guarantor, in each case whether or not asserted by the Obligor.</w:t>
      </w:r>
    </w:p>
    <w:p w14:paraId="38B65B96" w14:textId="77777777" w:rsidR="00F73E12" w:rsidRPr="00F73E12" w:rsidRDefault="00F73E12" w:rsidP="00F73E12">
      <w:pPr>
        <w:pStyle w:val="AltBH1OCAshurst"/>
        <w:numPr>
          <w:ilvl w:val="3"/>
          <w:numId w:val="52"/>
        </w:numPr>
        <w:ind w:left="709" w:hanging="709"/>
      </w:pPr>
      <w:r w:rsidRPr="00F73E12">
        <w:t>Discharge; Reinstatement</w:t>
      </w:r>
    </w:p>
    <w:p w14:paraId="46E46834" w14:textId="77777777" w:rsidR="00F73E12" w:rsidRPr="00F73E12" w:rsidRDefault="00F73E12" w:rsidP="00F73E12">
      <w:pPr>
        <w:pStyle w:val="AltBH1OCAshurst"/>
        <w:numPr>
          <w:ilvl w:val="0"/>
          <w:numId w:val="0"/>
        </w:numPr>
        <w:ind w:left="709"/>
        <w:rPr>
          <w:b w:val="0"/>
        </w:rPr>
      </w:pPr>
      <w:r w:rsidRPr="00F73E12">
        <w:rPr>
          <w:b w:val="0"/>
        </w:rPr>
        <w:t>The Guarantor’s obligations under this Guarantee will remain in full force and effect until the principal of, interest on and other amounts on the Securities have been paid in full. If at any time any payment of the principal of, interest on, or other amounts on any Security is rescinded or must be otherwise restored or returned upon the insolvency, bankruptcy or reorganisation of the Obligor or otherwise, the Guarantor’s obligations hereunder with respect to such payment will be reinstated as though such payment had been due but not made at such time.</w:t>
      </w:r>
    </w:p>
    <w:p w14:paraId="437E5D25" w14:textId="77777777" w:rsidR="00F73E12" w:rsidRPr="00F73E12" w:rsidRDefault="00F73E12" w:rsidP="00F73E12">
      <w:pPr>
        <w:pStyle w:val="AltBH1OCAshurst"/>
        <w:numPr>
          <w:ilvl w:val="3"/>
          <w:numId w:val="52"/>
        </w:numPr>
        <w:ind w:left="709" w:hanging="709"/>
      </w:pPr>
      <w:r w:rsidRPr="00F73E12">
        <w:t>Waiver by the Guarantor</w:t>
      </w:r>
    </w:p>
    <w:p w14:paraId="61C82E81" w14:textId="77777777" w:rsidR="00F73E12" w:rsidRPr="00F73E12" w:rsidRDefault="00F73E12" w:rsidP="00F73E12">
      <w:pPr>
        <w:pStyle w:val="AltBH1OCAshurst"/>
        <w:numPr>
          <w:ilvl w:val="0"/>
          <w:numId w:val="0"/>
        </w:numPr>
        <w:ind w:left="709"/>
        <w:rPr>
          <w:b w:val="0"/>
        </w:rPr>
      </w:pPr>
      <w:r w:rsidRPr="00F73E12">
        <w:rPr>
          <w:b w:val="0"/>
        </w:rPr>
        <w:t>The Guarantor irrevocably waives acceptance hereof, presentment, demand, protest and any notice not provided for herein, as well as any requirement that at any time any action be taken by any Person against the Obligor or any other Person. The Guarantor hereby agrees that, in the event of a default in payment of the principal of, interest on, and all other amounts payable under any Security, whether at its stated maturity, by declaration of acceleration, call for redemption or otherwise, legal proceedings may be instituted by the Beneficiary of such Security, subject to the terms and conditions set forth in the Programme Documents, directly against the Guarantor to enforce this Guarantee without first proceeding against the Obligor.</w:t>
      </w:r>
    </w:p>
    <w:p w14:paraId="57ACF170" w14:textId="77777777" w:rsidR="00F73E12" w:rsidRPr="00F73E12" w:rsidRDefault="00F73E12" w:rsidP="00F73E12">
      <w:pPr>
        <w:pStyle w:val="AltBH1OCAshurst"/>
        <w:numPr>
          <w:ilvl w:val="3"/>
          <w:numId w:val="52"/>
        </w:numPr>
        <w:ind w:left="709" w:hanging="709"/>
      </w:pPr>
      <w:r w:rsidRPr="00F73E12">
        <w:t>Subrogation</w:t>
      </w:r>
    </w:p>
    <w:p w14:paraId="20B74914" w14:textId="77777777" w:rsidR="00F73E12" w:rsidRPr="00F73E12" w:rsidRDefault="00F73E12" w:rsidP="00F73E12">
      <w:pPr>
        <w:pStyle w:val="AltBH1OCAshurst"/>
        <w:numPr>
          <w:ilvl w:val="0"/>
          <w:numId w:val="0"/>
        </w:numPr>
        <w:ind w:left="709"/>
        <w:rPr>
          <w:b w:val="0"/>
        </w:rPr>
      </w:pPr>
      <w:r w:rsidRPr="00F73E12">
        <w:rPr>
          <w:b w:val="0"/>
        </w:rPr>
        <w:t>Upon making any payment with respect to any obligation of the Obligor under this Guarantee, the Guarantor shall be subrogated to the rights of the payee against the Obligor with respect to such obligation, provided that the Guarantor may not enforce any right of subrogation with respect to such payment so long as any amount payable by the Obligor hereunder or under the Securities remains unpaid.</w:t>
      </w:r>
    </w:p>
    <w:p w14:paraId="327B539E" w14:textId="77777777" w:rsidR="00F73E12" w:rsidRPr="00F73E12" w:rsidRDefault="00F73E12" w:rsidP="00F73E12">
      <w:pPr>
        <w:pStyle w:val="AltBH1OCAshurst"/>
        <w:numPr>
          <w:ilvl w:val="3"/>
          <w:numId w:val="52"/>
        </w:numPr>
        <w:ind w:left="709" w:hanging="709"/>
      </w:pPr>
      <w:r w:rsidRPr="00F73E12">
        <w:t>No Set-off</w:t>
      </w:r>
    </w:p>
    <w:p w14:paraId="40439596" w14:textId="77777777" w:rsidR="00F73E12" w:rsidRPr="00F73E12" w:rsidRDefault="00F73E12" w:rsidP="00F73E12">
      <w:pPr>
        <w:pStyle w:val="AltBH1OCAshurst"/>
        <w:numPr>
          <w:ilvl w:val="0"/>
          <w:numId w:val="0"/>
        </w:numPr>
        <w:ind w:left="709"/>
        <w:rPr>
          <w:b w:val="0"/>
        </w:rPr>
      </w:pPr>
      <w:r w:rsidRPr="00F73E12">
        <w:rPr>
          <w:b w:val="0"/>
        </w:rPr>
        <w:t xml:space="preserve">By acceptance of this Guarantee, each of the Beneficiaries hereby waives any right it or any of its affiliates may have now or in the future (and irrespective of any future agreements among the Guarantor, the Obligor, the Beneficiaries or any of their respective affiliates) to set-off, combine, consolidate, or otherwise appropriate and apply (i) any assets of the Guarantor or any of its affiliates at any time held by any of them or (ii) any indebtedness or other liabilities at any time owing by any of them to the Guarantor </w:t>
      </w:r>
      <w:r w:rsidRPr="00F73E12">
        <w:rPr>
          <w:b w:val="0"/>
        </w:rPr>
        <w:lastRenderedPageBreak/>
        <w:t>or any of its affiliates, as the case may be, on account of the obligations or liabilities owed by the Guarantor to such party under this Guarantee.</w:t>
      </w:r>
    </w:p>
    <w:p w14:paraId="7BCE7660" w14:textId="77777777" w:rsidR="00F73E12" w:rsidRPr="00F73E12" w:rsidRDefault="00F73E12" w:rsidP="00F73E12">
      <w:pPr>
        <w:pStyle w:val="AltBH1OCAshurst"/>
        <w:numPr>
          <w:ilvl w:val="3"/>
          <w:numId w:val="52"/>
        </w:numPr>
        <w:ind w:left="709" w:hanging="709"/>
      </w:pPr>
      <w:r w:rsidRPr="00F73E12">
        <w:t>Stay of Acceleration</w:t>
      </w:r>
    </w:p>
    <w:p w14:paraId="3AA04DBE" w14:textId="77777777" w:rsidR="00F73E12" w:rsidRPr="00F73E12" w:rsidRDefault="00F73E12" w:rsidP="00F73E12">
      <w:pPr>
        <w:pStyle w:val="AltBH1OCAshurst"/>
        <w:numPr>
          <w:ilvl w:val="0"/>
          <w:numId w:val="0"/>
        </w:numPr>
        <w:ind w:left="709"/>
        <w:rPr>
          <w:b w:val="0"/>
        </w:rPr>
      </w:pPr>
      <w:r w:rsidRPr="00F73E12">
        <w:rPr>
          <w:b w:val="0"/>
        </w:rPr>
        <w:t>If acceleration of the time for payment of any amount payable by the Obligor under the Conditions applicable to the Securities is stayed upon the insolvency, bankruptcy or reorganisation of the Obligor, all such amounts otherwise subject to acceleration under the Conditions are nonetheless payable by the Guarantor hereunder forthwith on demand by the Beneficiaries.</w:t>
      </w:r>
    </w:p>
    <w:p w14:paraId="32D33815" w14:textId="77777777" w:rsidR="00F73E12" w:rsidRPr="00F73E12" w:rsidRDefault="00F73E12" w:rsidP="00F73E12">
      <w:pPr>
        <w:pStyle w:val="AltBH1OCAshurst"/>
        <w:numPr>
          <w:ilvl w:val="3"/>
          <w:numId w:val="52"/>
        </w:numPr>
        <w:ind w:left="709" w:hanging="709"/>
      </w:pPr>
      <w:r w:rsidRPr="00F73E12">
        <w:t>Savings Clause</w:t>
      </w:r>
    </w:p>
    <w:p w14:paraId="6C1B5119" w14:textId="77777777" w:rsidR="00F73E12" w:rsidRPr="00F73E12" w:rsidRDefault="00F73E12" w:rsidP="00F73E12">
      <w:pPr>
        <w:pStyle w:val="AltBH1OCAshurst"/>
        <w:numPr>
          <w:ilvl w:val="0"/>
          <w:numId w:val="0"/>
        </w:numPr>
        <w:ind w:left="709"/>
        <w:rPr>
          <w:b w:val="0"/>
        </w:rPr>
      </w:pPr>
      <w:r w:rsidRPr="00F73E12">
        <w:rPr>
          <w:b w:val="0"/>
        </w:rPr>
        <w:t>Notwithstanding anything to the contrary in this Guarantee, the Guarantor, and by its acceptance of Securities, each Beneficiary, hereby confirms that it is the intention of all such parties that the Guarantee not constitute a fraudulent conveyance under applicable fraudulent conveyance provisions of the United States Bankruptcy Code or any comparable provision of state law. To effectuate that intention, the Beneficiaries and the Guarantor hereby irrevocably agree that the obligations of the Guarantor under the Guarantee are limited to the maximum amount that would not render the Guarantor’s obligations subject to avoidance under applicable fraudulent conveyance provisions of the United States Bankruptcy Code or any comparable provision of state law.</w:t>
      </w:r>
    </w:p>
    <w:p w14:paraId="6F031341" w14:textId="77777777" w:rsidR="00F73E12" w:rsidRPr="00F73E12" w:rsidRDefault="00F73E12" w:rsidP="00F73E12">
      <w:pPr>
        <w:pStyle w:val="AltBH1OCAshurst"/>
        <w:numPr>
          <w:ilvl w:val="3"/>
          <w:numId w:val="52"/>
        </w:numPr>
        <w:ind w:left="709" w:hanging="709"/>
      </w:pPr>
      <w:r w:rsidRPr="00F73E12">
        <w:t>Demand on Guarantor</w:t>
      </w:r>
    </w:p>
    <w:p w14:paraId="6406A976" w14:textId="0AD7CAE0" w:rsidR="00F73E12" w:rsidRPr="00F73E12" w:rsidRDefault="00F73E12" w:rsidP="00F73E12">
      <w:pPr>
        <w:pStyle w:val="AltBH1OCAshurst"/>
        <w:numPr>
          <w:ilvl w:val="0"/>
          <w:numId w:val="0"/>
        </w:numPr>
        <w:ind w:left="709"/>
        <w:rPr>
          <w:b w:val="0"/>
        </w:rPr>
      </w:pPr>
      <w:r w:rsidRPr="00F73E12">
        <w:rPr>
          <w:b w:val="0"/>
        </w:rPr>
        <w:t xml:space="preserve">Any demand hereunder shall be given in writing, addressed to the Guarantor and served at its office at 4 Metrotech, Brooklyn, New York, 11245, United States of America, Attn: Finance Controllers, Interentity Analysis Group - Peter W Smith, </w:t>
      </w:r>
      <w:r w:rsidR="000C6B99" w:rsidRPr="000C6B99">
        <w:rPr>
          <w:b w:val="0"/>
        </w:rPr>
        <w:t>email: guarantee.notifications@jpmchase.com</w:t>
      </w:r>
      <w:r w:rsidRPr="00F73E12">
        <w:rPr>
          <w:b w:val="0"/>
        </w:rPr>
        <w:t xml:space="preserve">. A demand so made shall be deemed to have been duly made five New York Business Days (as used herein, </w:t>
      </w:r>
      <w:r w:rsidRPr="00F73E12">
        <w:t>"New York Business Day"</w:t>
      </w:r>
      <w:r w:rsidRPr="00F73E12">
        <w:rPr>
          <w:b w:val="0"/>
        </w:rPr>
        <w:t xml:space="preserve"> means a day (other than a Saturday or Sunday) on which banks are open for business in New York) after the day it was served or if it was served on a day that was not a New York Business Day or after 5.30 p.m. (New York time) on any day, the demand shall be deemed to be duly made five New York Business Days after the New York Business Day immediately following such day.</w:t>
      </w:r>
    </w:p>
    <w:p w14:paraId="6E9FEFA7" w14:textId="77777777" w:rsidR="00F73E12" w:rsidRPr="00F73E12" w:rsidRDefault="00F73E12" w:rsidP="00F73E12">
      <w:pPr>
        <w:pStyle w:val="AltBH1OCAshurst"/>
        <w:numPr>
          <w:ilvl w:val="3"/>
          <w:numId w:val="52"/>
        </w:numPr>
        <w:ind w:left="709" w:hanging="709"/>
      </w:pPr>
      <w:r w:rsidRPr="00F73E12">
        <w:t>Execution and Delivery of Guarantee</w:t>
      </w:r>
    </w:p>
    <w:p w14:paraId="08B9C711" w14:textId="77777777" w:rsidR="00F73E12" w:rsidRPr="00F73E12" w:rsidRDefault="00F73E12" w:rsidP="00F73E12">
      <w:pPr>
        <w:pStyle w:val="NormalOCAshurst"/>
      </w:pPr>
      <w:r w:rsidRPr="00F73E12">
        <w:t>The execution by the Guarantor of this Guarantee evidences the Guarantee, whether or not the person signing as an officer of the Guarantor still holds that office at the time of authentication of any Security. The delivery of any Security by the Principal Programme Agent (as defined in the Agency Agreement) after authentication constitutes due delivery of the Guarantee on behalf of the Guarantor.</w:t>
      </w:r>
    </w:p>
    <w:p w14:paraId="5A169225" w14:textId="77777777" w:rsidR="00F73E12" w:rsidRPr="00F73E12" w:rsidRDefault="00F73E12" w:rsidP="00F73E12">
      <w:pPr>
        <w:pStyle w:val="AltBH1OCAshurst"/>
        <w:numPr>
          <w:ilvl w:val="3"/>
          <w:numId w:val="52"/>
        </w:numPr>
        <w:ind w:left="709" w:hanging="709"/>
      </w:pPr>
      <w:r w:rsidRPr="00F73E12">
        <w:t>Incorporation of Terms</w:t>
      </w:r>
    </w:p>
    <w:p w14:paraId="2EF16D69" w14:textId="77777777" w:rsidR="00F73E12" w:rsidRPr="00F73E12" w:rsidRDefault="00F73E12" w:rsidP="00F73E12">
      <w:pPr>
        <w:pStyle w:val="NormalOCAshurst"/>
      </w:pPr>
      <w:r w:rsidRPr="00F73E12">
        <w:t>The Guarantor agrees that it shall comply with and be bound by those provisions contained in the Programme Documents which relate to it.</w:t>
      </w:r>
    </w:p>
    <w:p w14:paraId="7EFF120F" w14:textId="77777777" w:rsidR="00F73E12" w:rsidRPr="00F73E12" w:rsidRDefault="00F73E12" w:rsidP="00F73E12">
      <w:pPr>
        <w:pStyle w:val="AltBH1OCAshurst"/>
        <w:numPr>
          <w:ilvl w:val="3"/>
          <w:numId w:val="52"/>
        </w:numPr>
        <w:ind w:left="709" w:hanging="709"/>
      </w:pPr>
      <w:bookmarkStart w:id="5" w:name="_Ref496731115"/>
      <w:r w:rsidRPr="00F73E12">
        <w:t>Deposit of Guarantee and Application</w:t>
      </w:r>
      <w:bookmarkEnd w:id="5"/>
    </w:p>
    <w:p w14:paraId="1A64BD24" w14:textId="77777777" w:rsidR="00F73E12" w:rsidRPr="00F73E12" w:rsidRDefault="00F73E12" w:rsidP="00F73E12">
      <w:pPr>
        <w:pStyle w:val="NormalOCAshurst"/>
      </w:pPr>
      <w:r w:rsidRPr="00F73E12">
        <w:t>This Guarantee shall be deposited with and held by The Bank of New York Mellon for the benefit of the Beneficiaries.</w:t>
      </w:r>
    </w:p>
    <w:p w14:paraId="25B8D2F0" w14:textId="425057BA" w:rsidR="00F73E12" w:rsidRPr="00F73E12" w:rsidRDefault="00F73E12" w:rsidP="00F73E12">
      <w:pPr>
        <w:pStyle w:val="AltH3OCAshurst"/>
        <w:numPr>
          <w:ilvl w:val="2"/>
          <w:numId w:val="54"/>
        </w:numPr>
        <w:tabs>
          <w:tab w:val="clear" w:pos="2160"/>
        </w:tabs>
      </w:pPr>
      <w:r w:rsidRPr="00F73E12">
        <w:t xml:space="preserve">Subject to (b) and (c) below, this Guarantee (i) applies in respect of each Security issued by the Obligor under the Programme on or after </w:t>
      </w:r>
      <w:r w:rsidR="00D81DB4">
        <w:t>6</w:t>
      </w:r>
      <w:r w:rsidRPr="00F73E12">
        <w:t xml:space="preserve"> August 2025 (the "</w:t>
      </w:r>
      <w:r w:rsidRPr="00F73E12">
        <w:rPr>
          <w:b/>
        </w:rPr>
        <w:t>Effective Date</w:t>
      </w:r>
      <w:r w:rsidRPr="00F73E12">
        <w:t xml:space="preserve">") and (ii) amends, supplants and replaces in its entirety, for all such Securities referred to in (i), the guarantee for the Programme deemed effective as of 17 April 2025 (the </w:t>
      </w:r>
      <w:r w:rsidRPr="00F73E12">
        <w:rPr>
          <w:bCs/>
        </w:rPr>
        <w:t>"</w:t>
      </w:r>
      <w:r w:rsidRPr="00F73E12">
        <w:rPr>
          <w:b/>
        </w:rPr>
        <w:t>17 April 2025</w:t>
      </w:r>
      <w:r w:rsidRPr="00F73E12">
        <w:t xml:space="preserve"> </w:t>
      </w:r>
      <w:r w:rsidRPr="00F73E12">
        <w:rPr>
          <w:b/>
        </w:rPr>
        <w:t>Guarantee</w:t>
      </w:r>
      <w:r w:rsidRPr="00F73E12">
        <w:rPr>
          <w:bCs/>
        </w:rPr>
        <w:t>").</w:t>
      </w:r>
      <w:r w:rsidRPr="00F73E12">
        <w:t xml:space="preserve"> For the avoidance of doubt, the 17 April 2025 Guarantee (and each guarantee of Securities by the Guarantor under the Programme preceding the 17 April 2025 Guarantee, as applicable) shall continue to apply to all Securities issued under the Programme before the Effective Date in accordance with their terms, as applicable.</w:t>
      </w:r>
    </w:p>
    <w:p w14:paraId="3E811841" w14:textId="77777777" w:rsidR="00F73E12" w:rsidRPr="00F73E12" w:rsidRDefault="00F73E12" w:rsidP="00F73E12">
      <w:pPr>
        <w:pStyle w:val="AltH3OCAshurst"/>
        <w:numPr>
          <w:ilvl w:val="2"/>
          <w:numId w:val="50"/>
        </w:numPr>
        <w:tabs>
          <w:tab w:val="clear" w:pos="2160"/>
        </w:tabs>
      </w:pPr>
      <w:r w:rsidRPr="00F73E12">
        <w:t>Securities issued on or after the Effective Date which are expressed to be consolidated and form a single series with Securities the first tranche of which was issued prior to the Effective Date, shall not have the benefit of this Guarantee but shall instead have the benefit of the same guarantee of the Guarantor under the Programme granted in respect of such first tranche of Securities.</w:t>
      </w:r>
    </w:p>
    <w:p w14:paraId="798C51FF" w14:textId="77777777" w:rsidR="00F73E12" w:rsidRPr="00F73E12" w:rsidRDefault="00F73E12" w:rsidP="00F73E12">
      <w:pPr>
        <w:pStyle w:val="AltH3OCAshurst"/>
        <w:numPr>
          <w:ilvl w:val="2"/>
          <w:numId w:val="50"/>
        </w:numPr>
        <w:tabs>
          <w:tab w:val="clear" w:pos="2160"/>
        </w:tabs>
      </w:pPr>
      <w:r w:rsidRPr="00F73E12">
        <w:lastRenderedPageBreak/>
        <w:t>This Guarantee shall not apply in respect of any Securities issued on or after the date on which the Guarantor has granted a subsequent guarantee of Securities issued by the Obligor under the Programme and which subsequent guarantee is expressed to replace this Guarantee in relation to such Securities (unless expressly so provided in the terms of such subsequent guarantee, including in the circumstance of (b) above where such Securities are to be consolidated and form a single series with Securities the first tranche of which was issued on or after the Effective Date but before the date on which the Guarantor has granted a subsequent guarantee).</w:t>
      </w:r>
    </w:p>
    <w:p w14:paraId="1732A26B" w14:textId="77777777" w:rsidR="00F73E12" w:rsidRPr="00F73E12" w:rsidRDefault="00F73E12" w:rsidP="00F73E12">
      <w:pPr>
        <w:pStyle w:val="AltBH1OCAshurst"/>
        <w:numPr>
          <w:ilvl w:val="3"/>
          <w:numId w:val="52"/>
        </w:numPr>
        <w:ind w:left="709" w:hanging="709"/>
      </w:pPr>
      <w:r w:rsidRPr="00F73E12">
        <w:t>Not Insured</w:t>
      </w:r>
    </w:p>
    <w:p w14:paraId="0C8DA33D" w14:textId="77777777" w:rsidR="00F73E12" w:rsidRPr="00F73E12" w:rsidRDefault="00F73E12" w:rsidP="00F73E12">
      <w:pPr>
        <w:pStyle w:val="NormalOCAshurst"/>
      </w:pPr>
      <w:r w:rsidRPr="00F73E12">
        <w:t>This Guarantee is not insured by the Federal Deposit Insurance Corporation of the United States of America.</w:t>
      </w:r>
    </w:p>
    <w:p w14:paraId="30BC0FC3" w14:textId="77777777" w:rsidR="00F73E12" w:rsidRPr="00F73E12" w:rsidRDefault="00F73E12" w:rsidP="00F73E12">
      <w:pPr>
        <w:pStyle w:val="AltBH1OCAshurst"/>
        <w:numPr>
          <w:ilvl w:val="3"/>
          <w:numId w:val="52"/>
        </w:numPr>
        <w:ind w:left="709" w:hanging="709"/>
      </w:pPr>
      <w:r w:rsidRPr="00F73E12">
        <w:t>Governing Law</w:t>
      </w:r>
    </w:p>
    <w:p w14:paraId="39B572F3" w14:textId="77777777" w:rsidR="00F73E12" w:rsidRPr="00F73E12" w:rsidRDefault="00F73E12" w:rsidP="00F73E12">
      <w:pPr>
        <w:pStyle w:val="NormalOCAshurst"/>
      </w:pPr>
      <w:r w:rsidRPr="00F73E12">
        <w:t>This Guarantee and the rights and obligations of the parties hereunder shall be governed by, and construed and interpreted in accordance with, the laws of the State of New York.</w:t>
      </w:r>
    </w:p>
    <w:p w14:paraId="01079638" w14:textId="77777777" w:rsidR="00F73E12" w:rsidRPr="00F73E12" w:rsidRDefault="00F73E12" w:rsidP="00F73E12">
      <w:pPr>
        <w:pStyle w:val="AltBH1OCAshurst"/>
        <w:numPr>
          <w:ilvl w:val="3"/>
          <w:numId w:val="52"/>
        </w:numPr>
        <w:ind w:left="709" w:hanging="709"/>
      </w:pPr>
      <w:r w:rsidRPr="00F73E12">
        <w:t>QFC Stay Rules</w:t>
      </w:r>
    </w:p>
    <w:p w14:paraId="1B1A8FD4" w14:textId="77777777" w:rsidR="00F73E12" w:rsidRPr="00F73E12" w:rsidRDefault="00F73E12" w:rsidP="00F73E12">
      <w:pPr>
        <w:pStyle w:val="NormalOCAshurst"/>
      </w:pPr>
      <w:r w:rsidRPr="00F73E12">
        <w:t>Notwithstanding herein to the contrary:</w:t>
      </w:r>
    </w:p>
    <w:p w14:paraId="650C754E" w14:textId="77777777" w:rsidR="00F73E12" w:rsidRPr="00F73E12" w:rsidRDefault="00F73E12" w:rsidP="00F73E12">
      <w:pPr>
        <w:pStyle w:val="NormalOCAshurst"/>
        <w:ind w:left="709" w:hanging="709"/>
      </w:pPr>
      <w:r w:rsidRPr="00F73E12">
        <w:t>(a)</w:t>
      </w:r>
      <w:r w:rsidRPr="00F73E12">
        <w:tab/>
        <w:t>to the extent required under a U.S. Special Resolution Regime, this Guarantee and any interest or obligation in or under this Guarantee, or any property securing this Guarantee may be transferred to a transferee required under such U.S. Special Resolution Regime upon or following the Guarantor becoming subject to a receivership, insolvency, liquidation, resolution or similar proceeding unless the result of the transfer would result in a Beneficiary being the beneficiary of this Guarantee in violation of any law applicable to such Beneficiary;</w:t>
      </w:r>
    </w:p>
    <w:p w14:paraId="29FD2D02" w14:textId="77777777" w:rsidR="00F73E12" w:rsidRPr="00F73E12" w:rsidRDefault="00F73E12" w:rsidP="00F73E12">
      <w:pPr>
        <w:pStyle w:val="NormalOCAshurst"/>
        <w:ind w:left="709" w:hanging="709"/>
      </w:pPr>
      <w:r w:rsidRPr="00F73E12">
        <w:t>(b)</w:t>
      </w:r>
      <w:r w:rsidRPr="00F73E12">
        <w:tab/>
        <w:t>in the event the Guarantor becomes subject to a proceeding under a U.S. Special Resolution Regime, the transfer of this Guarantee (and any interest and obligation in or under, and any property securing, this Guarantee) from the Guarantor will be effective to the same extent as the transfer would be effective under the U.S. Special Resolution Regime if this Guarantee (and any interest and obligation in or under, and any property securing, this Guarantee) were governed by the laws of the United States or a state of the United States;</w:t>
      </w:r>
    </w:p>
    <w:p w14:paraId="70B464AA" w14:textId="77777777" w:rsidR="00F73E12" w:rsidRPr="00F73E12" w:rsidRDefault="00F73E12" w:rsidP="00F73E12">
      <w:pPr>
        <w:pStyle w:val="NormalOCAshurst"/>
        <w:ind w:left="709" w:hanging="709"/>
      </w:pPr>
      <w:r w:rsidRPr="00F73E12">
        <w:t>(c)</w:t>
      </w:r>
      <w:r w:rsidRPr="00F73E12">
        <w:tab/>
        <w:t>in the event the Guarantor or an Affiliate of the Guarantor becomes subject to a proceeding under a U.S. Special Resolution Regime, Default Rights with respect to this Guarantee that may be exercised against the Guarantor are permitted to be exercised to no greater extent than the Default Rights could be exercised under the U.S. Special Resolution Regime if this Guarantee were governed by the laws of the United States or a state of the United States; and</w:t>
      </w:r>
    </w:p>
    <w:p w14:paraId="5386BDC6" w14:textId="781A2829" w:rsidR="00F73E12" w:rsidRPr="00F73E12" w:rsidRDefault="00F73E12" w:rsidP="00F73E12">
      <w:pPr>
        <w:pStyle w:val="NormalOCAshurst"/>
        <w:ind w:left="709" w:hanging="709"/>
      </w:pPr>
      <w:r w:rsidRPr="00F73E12">
        <w:t>(d)</w:t>
      </w:r>
      <w:r w:rsidRPr="00F73E12">
        <w:tab/>
        <w:t>if, after the date of this Guarantee, both parties hereto shall have become adhering parties to the ISDA 2018 U.S. Resolution Stay Protocol, as published by the International Swaps and Derivatives Association, Inc. as of 31 July 2018 (the "</w:t>
      </w:r>
      <w:r w:rsidRPr="00F73E12">
        <w:rPr>
          <w:b/>
          <w:bCs/>
        </w:rPr>
        <w:t>ISDA U.S. QFC Protocol</w:t>
      </w:r>
      <w:r w:rsidRPr="00F73E12">
        <w:t>"), the terms of the ISDA U.S. QFC Protocol will supersede and replace this clause 15.</w:t>
      </w:r>
    </w:p>
    <w:p w14:paraId="732B440C" w14:textId="77777777" w:rsidR="00F73E12" w:rsidRPr="00F73E12" w:rsidRDefault="00F73E12" w:rsidP="00F73E12">
      <w:pPr>
        <w:pStyle w:val="NormalOCAshurst"/>
      </w:pPr>
      <w:r w:rsidRPr="00F73E12">
        <w:t>For purposes of this clause 15, the following terms have the following meanings:</w:t>
      </w:r>
    </w:p>
    <w:p w14:paraId="5DDE6882" w14:textId="1E8399FE" w:rsidR="00F73E12" w:rsidRPr="00F73E12" w:rsidRDefault="00F73E12" w:rsidP="00F73E12">
      <w:pPr>
        <w:pStyle w:val="NormalOCAshurst"/>
      </w:pPr>
      <w:r w:rsidRPr="00F73E12">
        <w:t>"</w:t>
      </w:r>
      <w:r w:rsidRPr="00F73E12">
        <w:rPr>
          <w:b/>
          <w:bCs/>
        </w:rPr>
        <w:t>Affiliate</w:t>
      </w:r>
      <w:r w:rsidRPr="00F73E12">
        <w:t>" has the meaning given in section 2(k) of the Bank Holding Company Act (12 U.S.C. 1841(k)) and section 225.2(a) of the Board's Regulation Y (12 CFR 225.2(a)).</w:t>
      </w:r>
    </w:p>
    <w:p w14:paraId="385C2FA6" w14:textId="39B76ABC" w:rsidR="00F73E12" w:rsidRPr="00F73E12" w:rsidRDefault="00F73E12" w:rsidP="00F73E12">
      <w:pPr>
        <w:pStyle w:val="NormalOCAshurst"/>
      </w:pPr>
      <w:r w:rsidRPr="00F73E12">
        <w:t>"</w:t>
      </w:r>
      <w:r w:rsidRPr="00F73E12">
        <w:rPr>
          <w:b/>
          <w:bCs/>
        </w:rPr>
        <w:t>Default Right</w:t>
      </w:r>
      <w:r w:rsidRPr="00F73E12">
        <w:t xml:space="preserve">" means any: (i) right of a party, whether contractual or otherwise (including, without limitation, rights incorporated by reference to any other contract, agreement, or document, and rights afforded by statute, civil code, regulation, and common law), to liquidate, terminate, cancel, rescind, or accelerate such agreement or transactions thereunder, set off or net amounts owing in respect thereto (except rights related to same day payment netting), exercise remedies in respect of collateral or other credit support or property related thereto (including the purchase and sale of property), demand payment or delivery thereunder or in respect thereof (other than a right or operation of a contractual provision arising solely from a change in the value of collateral or margin or a change in the amount of an economic exposure), suspend, delay, or defer payment or performance thereunder, or modify the obligations of a party thereunder, or any similar rights; and (ii) right or contractual provision that alters the amount of collateral or margin that must be provided with respect to an exposure thereunder, including by altering any initial amount, threshold amount, variation margin, minimum transfer amount, the margin value of collateral, </w:t>
      </w:r>
      <w:r w:rsidRPr="00F73E12">
        <w:lastRenderedPageBreak/>
        <w:t>or any similar amount, that entitles a party to demand the return of any collateral or margin transferred by it to the other party or a custodian or that modifies a transferee's right to reuse collateral or margin (if such right previously existed), or any similar rights, in each case, other than a right or operation of a contractual provision arising solely from a change in the value of collateral or margin or a change in the amount of an economic exposure.</w:t>
      </w:r>
    </w:p>
    <w:p w14:paraId="439CC6C6" w14:textId="6869B611" w:rsidR="00F73E12" w:rsidRPr="00F73E12" w:rsidRDefault="00F73E12" w:rsidP="00F73E12">
      <w:pPr>
        <w:pStyle w:val="NormalOCAshurst"/>
      </w:pPr>
      <w:r w:rsidRPr="00F73E12">
        <w:t>"</w:t>
      </w:r>
      <w:r w:rsidRPr="00F73E12">
        <w:rPr>
          <w:b/>
          <w:bCs/>
        </w:rPr>
        <w:t>U.S. Special Resolution Regime</w:t>
      </w:r>
      <w:r w:rsidRPr="00F73E12">
        <w:t>" means the Federal Deposit Insurance Act (12 U.S.C. 1811–1835a) and regulations promulgated thereunder and Title II of the Dodd-Frank Wall Street Reform and Consumer Protection Act (12 U.S.C. 5381–5394) and regulations promulgated thereunder.</w:t>
      </w:r>
    </w:p>
    <w:p w14:paraId="7082811A" w14:textId="77777777" w:rsidR="00F73E12" w:rsidRPr="00F73E12" w:rsidRDefault="00F73E12" w:rsidP="00F73E12">
      <w:pPr>
        <w:pStyle w:val="AltBH1OCAshurst"/>
        <w:numPr>
          <w:ilvl w:val="3"/>
          <w:numId w:val="52"/>
        </w:numPr>
        <w:ind w:left="709" w:hanging="709"/>
      </w:pPr>
      <w:r w:rsidRPr="00F73E12">
        <w:t>Jurisdiction</w:t>
      </w:r>
    </w:p>
    <w:p w14:paraId="4086AAAD" w14:textId="5E867ED1" w:rsidR="001A450B" w:rsidRDefault="00F73E12" w:rsidP="00F73E12">
      <w:pPr>
        <w:pStyle w:val="NormalOCAshurst"/>
      </w:pPr>
      <w:r w:rsidRPr="00F73E12">
        <w:t>The Guarantor agrees to the exclusive jurisdiction of courts located in the State of New York, United States of America, over any disputes arising under</w:t>
      </w:r>
      <w:r w:rsidRPr="00B93209">
        <w:t xml:space="preserve"> or relating to this Guarantee.</w:t>
      </w:r>
      <w:r w:rsidR="005F626B">
        <w:t>"</w:t>
      </w:r>
    </w:p>
    <w:p w14:paraId="26704DEB" w14:textId="051A56F4" w:rsidR="001A450B" w:rsidRPr="00F73E12" w:rsidRDefault="001A450B" w:rsidP="001A450B">
      <w:pPr>
        <w:pStyle w:val="NormalAshurst"/>
        <w:ind w:left="567" w:hanging="567"/>
        <w:rPr>
          <w:rFonts w:ascii="Times New Roman" w:hAnsi="Times New Roman" w:cs="Times New Roman"/>
          <w:b/>
          <w:sz w:val="20"/>
          <w:szCs w:val="20"/>
        </w:rPr>
      </w:pPr>
      <w:r w:rsidRPr="005B3787">
        <w:rPr>
          <w:rFonts w:ascii="Times New Roman" w:hAnsi="Times New Roman"/>
          <w:b/>
          <w:sz w:val="20"/>
        </w:rPr>
        <w:t>I</w:t>
      </w:r>
      <w:r w:rsidR="005F626B">
        <w:rPr>
          <w:rFonts w:ascii="Times New Roman" w:hAnsi="Times New Roman"/>
          <w:b/>
          <w:sz w:val="20"/>
        </w:rPr>
        <w:t>V</w:t>
      </w:r>
      <w:r w:rsidRPr="005B3787">
        <w:rPr>
          <w:rFonts w:ascii="Times New Roman" w:hAnsi="Times New Roman"/>
          <w:b/>
          <w:sz w:val="20"/>
        </w:rPr>
        <w:t>.</w:t>
      </w:r>
      <w:r w:rsidRPr="005B3787">
        <w:rPr>
          <w:rFonts w:ascii="Times New Roman" w:hAnsi="Times New Roman"/>
          <w:b/>
          <w:sz w:val="20"/>
        </w:rPr>
        <w:tab/>
      </w:r>
      <w:r>
        <w:rPr>
          <w:rFonts w:ascii="Times New Roman" w:hAnsi="Times New Roman"/>
          <w:b/>
          <w:sz w:val="20"/>
        </w:rPr>
        <w:t>Amendments to Subscription and Sale</w:t>
      </w:r>
    </w:p>
    <w:p w14:paraId="3D6A069D" w14:textId="661AA21E" w:rsidR="001A450B" w:rsidRDefault="001A450B" w:rsidP="001A450B">
      <w:pPr>
        <w:pStyle w:val="NormalAshurst"/>
        <w:ind w:left="567"/>
        <w:rPr>
          <w:rFonts w:ascii="Times New Roman" w:hAnsi="Times New Roman" w:cs="Times New Roman"/>
          <w:bCs/>
          <w:sz w:val="20"/>
          <w:szCs w:val="20"/>
        </w:rPr>
      </w:pPr>
      <w:r w:rsidRPr="00F73E12">
        <w:rPr>
          <w:rFonts w:ascii="Times New Roman" w:hAnsi="Times New Roman" w:cs="Times New Roman"/>
          <w:bCs/>
          <w:sz w:val="20"/>
          <w:szCs w:val="20"/>
        </w:rPr>
        <w:t xml:space="preserve">The </w:t>
      </w:r>
      <w:r>
        <w:rPr>
          <w:rFonts w:ascii="Times New Roman" w:hAnsi="Times New Roman" w:cs="Times New Roman"/>
          <w:bCs/>
          <w:sz w:val="20"/>
          <w:szCs w:val="20"/>
        </w:rPr>
        <w:t xml:space="preserve">section entitled "Subscription and Sale" </w:t>
      </w:r>
      <w:r w:rsidRPr="00F73E12">
        <w:rPr>
          <w:rFonts w:ascii="Times New Roman" w:hAnsi="Times New Roman" w:cs="Times New Roman"/>
          <w:bCs/>
          <w:sz w:val="20"/>
          <w:szCs w:val="20"/>
        </w:rPr>
        <w:t xml:space="preserve">on pages </w:t>
      </w:r>
      <w:r>
        <w:rPr>
          <w:rFonts w:ascii="Times New Roman" w:hAnsi="Times New Roman" w:cs="Times New Roman"/>
          <w:bCs/>
          <w:sz w:val="20"/>
          <w:szCs w:val="20"/>
        </w:rPr>
        <w:t>618 to 651</w:t>
      </w:r>
      <w:r w:rsidRPr="00F73E12">
        <w:rPr>
          <w:rFonts w:ascii="Times New Roman" w:hAnsi="Times New Roman" w:cs="Times New Roman"/>
          <w:bCs/>
          <w:sz w:val="20"/>
          <w:szCs w:val="20"/>
        </w:rPr>
        <w:t xml:space="preserve"> of the Original Offering Circular shall be </w:t>
      </w:r>
      <w:r>
        <w:rPr>
          <w:rFonts w:ascii="Times New Roman" w:hAnsi="Times New Roman" w:cs="Times New Roman"/>
          <w:bCs/>
          <w:sz w:val="20"/>
          <w:szCs w:val="20"/>
        </w:rPr>
        <w:t>supplemented by inserting the following new sub-section headed "Abu Dhabi Global Market" immediately after the sub-section entitled "Dubai International Financial Centre" and immediately before the sub-section headed "United Kingdom" on page 645 of the Original Offering Circular:</w:t>
      </w:r>
    </w:p>
    <w:p w14:paraId="19BC3ADC" w14:textId="15DCFDF1" w:rsidR="001A450B" w:rsidRPr="001A450B" w:rsidRDefault="001A450B" w:rsidP="001A450B">
      <w:pPr>
        <w:pStyle w:val="NormalAshurst"/>
        <w:ind w:left="567"/>
        <w:rPr>
          <w:rFonts w:ascii="Times New Roman" w:hAnsi="Times New Roman" w:cs="Times New Roman"/>
          <w:bCs/>
          <w:sz w:val="20"/>
          <w:szCs w:val="20"/>
        </w:rPr>
      </w:pPr>
      <w:r>
        <w:rPr>
          <w:rFonts w:ascii="Times New Roman" w:hAnsi="Times New Roman" w:cs="Times New Roman"/>
          <w:bCs/>
          <w:sz w:val="20"/>
          <w:szCs w:val="20"/>
        </w:rPr>
        <w:t>"</w:t>
      </w:r>
      <w:r w:rsidRPr="001A450B">
        <w:rPr>
          <w:rFonts w:ascii="Times New Roman" w:hAnsi="Times New Roman" w:cs="Times New Roman"/>
          <w:b/>
          <w:sz w:val="20"/>
          <w:szCs w:val="20"/>
        </w:rPr>
        <w:t>Abu Dhabi Global Market</w:t>
      </w:r>
    </w:p>
    <w:p w14:paraId="46BC40E5" w14:textId="510CB9D7" w:rsidR="000F34E5" w:rsidRDefault="001A450B" w:rsidP="001A450B">
      <w:pPr>
        <w:pStyle w:val="NormalAshurst"/>
        <w:ind w:left="567"/>
        <w:rPr>
          <w:b/>
        </w:rPr>
      </w:pPr>
      <w:r w:rsidRPr="001A450B">
        <w:rPr>
          <w:rFonts w:ascii="Times New Roman" w:hAnsi="Times New Roman" w:cs="Times New Roman"/>
          <w:bCs/>
          <w:sz w:val="20"/>
          <w:szCs w:val="20"/>
        </w:rPr>
        <w:t>This Offering Circular relates to Securities which constitute an Exempted Offer (for the purposes of section 61(3)(a) of Financial Services and Markets Regulations 2015, as amended ("</w:t>
      </w:r>
      <w:r w:rsidRPr="001A450B">
        <w:rPr>
          <w:rFonts w:ascii="Times New Roman" w:hAnsi="Times New Roman" w:cs="Times New Roman"/>
          <w:b/>
          <w:sz w:val="20"/>
          <w:szCs w:val="20"/>
        </w:rPr>
        <w:t>FSMR</w:t>
      </w:r>
      <w:r w:rsidRPr="001A450B">
        <w:rPr>
          <w:rFonts w:ascii="Times New Roman" w:hAnsi="Times New Roman" w:cs="Times New Roman"/>
          <w:bCs/>
          <w:sz w:val="20"/>
          <w:szCs w:val="20"/>
        </w:rPr>
        <w:t>") and as defined in Rule 4.3.1(1) of the ADGM Market Rules 2023 as amended, issued for the purposes of the FSMR ("</w:t>
      </w:r>
      <w:r w:rsidRPr="001A450B">
        <w:rPr>
          <w:rFonts w:ascii="Times New Roman" w:hAnsi="Times New Roman" w:cs="Times New Roman"/>
          <w:b/>
          <w:sz w:val="20"/>
          <w:szCs w:val="20"/>
        </w:rPr>
        <w:t>ADGM Market Rules</w:t>
      </w:r>
      <w:r w:rsidRPr="001A450B">
        <w:rPr>
          <w:rFonts w:ascii="Times New Roman" w:hAnsi="Times New Roman" w:cs="Times New Roman"/>
          <w:bCs/>
          <w:sz w:val="20"/>
          <w:szCs w:val="20"/>
        </w:rPr>
        <w:t>") and are thus not subject to any form of regulation or approval by the Financial Services Regulatory Authority ("</w:t>
      </w:r>
      <w:r w:rsidRPr="001A450B">
        <w:rPr>
          <w:rFonts w:ascii="Times New Roman" w:hAnsi="Times New Roman" w:cs="Times New Roman"/>
          <w:b/>
          <w:sz w:val="20"/>
          <w:szCs w:val="20"/>
        </w:rPr>
        <w:t>FSRA</w:t>
      </w:r>
      <w:r w:rsidRPr="001A450B">
        <w:rPr>
          <w:rFonts w:ascii="Times New Roman" w:hAnsi="Times New Roman" w:cs="Times New Roman"/>
          <w:bCs/>
          <w:sz w:val="20"/>
          <w:szCs w:val="20"/>
        </w:rPr>
        <w:t>") of the Abu Dhabi Global Market ("</w:t>
      </w:r>
      <w:r w:rsidRPr="001A450B">
        <w:rPr>
          <w:rFonts w:ascii="Times New Roman" w:hAnsi="Times New Roman" w:cs="Times New Roman"/>
          <w:b/>
          <w:sz w:val="20"/>
          <w:szCs w:val="20"/>
        </w:rPr>
        <w:t>ADGM</w:t>
      </w:r>
      <w:r w:rsidRPr="001A450B">
        <w:rPr>
          <w:rFonts w:ascii="Times New Roman" w:hAnsi="Times New Roman" w:cs="Times New Roman"/>
          <w:bCs/>
          <w:sz w:val="20"/>
          <w:szCs w:val="20"/>
        </w:rPr>
        <w:t>"). The FSRA has not approved this Offering Circular nor has any responsibility for reviewing or verifying any document in connection with the Securities. The Securities have not been offered and will not be offered to any persons in the ADGM except on the basis that an offer is an "Exempt Offer" in accordance with the FSMR and ADGM Markets Rules. This Offering Circular must not be disclosed by the recipient to any other person and may not be reproduced or used for any other purpose. This Offering Circular is only intended for distribution only to Professional Clients (as defined in Rule 4.3.1(1) of the ADGM Market Rules). It must not be delivered to, or relied on by, any other person. The Securities to which this Offering Circular relates may be illiquid and/or subject to restrictions on their resale. You should conduct your own due diligence on the Securities. If you do not understand the contents of this Offering Circular or are unsure whether the Securities to which this Offering Circular relates are suitable for your individual investment objectives and circumstances, you should consult an authorised financial adviser.</w:t>
      </w:r>
      <w:r>
        <w:rPr>
          <w:rFonts w:ascii="Times New Roman" w:hAnsi="Times New Roman" w:cs="Times New Roman"/>
          <w:bCs/>
          <w:sz w:val="20"/>
          <w:szCs w:val="20"/>
        </w:rPr>
        <w:t>"</w:t>
      </w:r>
      <w:r w:rsidR="0090499F">
        <w:rPr>
          <w:b/>
        </w:rPr>
        <w:br w:type="page"/>
      </w:r>
    </w:p>
    <w:p w14:paraId="3DF7A23B" w14:textId="77777777" w:rsidR="00E330F5" w:rsidRPr="003E5EB9" w:rsidRDefault="0090499F" w:rsidP="00BC417C">
      <w:pPr>
        <w:pStyle w:val="NormalOCAshurst"/>
        <w:rPr>
          <w:rFonts w:eastAsia="Microsoft JhengHei"/>
          <w:bCs/>
          <w:iCs/>
        </w:rPr>
      </w:pPr>
      <w:r w:rsidRPr="003E5EB9">
        <w:rPr>
          <w:b/>
        </w:rPr>
        <w:lastRenderedPageBreak/>
        <w:t>General</w:t>
      </w:r>
    </w:p>
    <w:p w14:paraId="098685C8" w14:textId="0E9E224C" w:rsidR="00F13F6A" w:rsidRPr="003E5EB9" w:rsidRDefault="0090499F" w:rsidP="00273B6D">
      <w:pPr>
        <w:pStyle w:val="NormalAshurst"/>
        <w:spacing w:line="288" w:lineRule="auto"/>
        <w:rPr>
          <w:rFonts w:ascii="Times New Roman" w:hAnsi="Times New Roman" w:cs="Times New Roman"/>
          <w:sz w:val="20"/>
        </w:rPr>
      </w:pPr>
      <w:r w:rsidRPr="00494D8C">
        <w:rPr>
          <w:rFonts w:ascii="Times New Roman" w:hAnsi="Times New Roman" w:cs="Times New Roman"/>
          <w:sz w:val="20"/>
        </w:rPr>
        <w:t xml:space="preserve">This Supplement will be published on the Luxembourg Stock Exchange's website at </w:t>
      </w:r>
      <w:r w:rsidRPr="00494D8C">
        <w:rPr>
          <w:rFonts w:ascii="Times New Roman" w:hAnsi="Times New Roman" w:cs="Times New Roman"/>
          <w:i/>
          <w:iCs/>
          <w:sz w:val="20"/>
        </w:rPr>
        <w:t>www.luxse.com</w:t>
      </w:r>
      <w:r w:rsidRPr="00494D8C">
        <w:rPr>
          <w:rFonts w:ascii="Times New Roman" w:hAnsi="Times New Roman" w:cs="Times New Roman"/>
          <w:sz w:val="20"/>
        </w:rPr>
        <w:t xml:space="preserve">. </w:t>
      </w:r>
    </w:p>
    <w:p w14:paraId="08C6FABD" w14:textId="639677C1" w:rsidR="00E330F5" w:rsidRDefault="0090499F" w:rsidP="000F34E5">
      <w:pPr>
        <w:pStyle w:val="NormalAshurst"/>
        <w:spacing w:line="288" w:lineRule="auto"/>
        <w:rPr>
          <w:rFonts w:ascii="Times New Roman" w:hAnsi="Times New Roman" w:cs="Times New Roman"/>
          <w:sz w:val="20"/>
        </w:rPr>
      </w:pPr>
      <w:r w:rsidRPr="003E5EB9">
        <w:rPr>
          <w:rFonts w:ascii="Times New Roman" w:hAnsi="Times New Roman" w:cs="Times New Roman"/>
          <w:sz w:val="20"/>
        </w:rPr>
        <w:t xml:space="preserve">This Supplement will be available free of charge during normal business hours at the offices of </w:t>
      </w:r>
      <w:r w:rsidR="00686068" w:rsidRPr="00686068">
        <w:rPr>
          <w:rFonts w:ascii="Times New Roman" w:hAnsi="Times New Roman" w:cs="Times New Roman"/>
          <w:sz w:val="20"/>
        </w:rPr>
        <w:t>UBS AG</w:t>
      </w:r>
      <w:r w:rsidRPr="003E5EB9">
        <w:rPr>
          <w:rFonts w:ascii="Times New Roman" w:hAnsi="Times New Roman" w:cs="Times New Roman"/>
          <w:sz w:val="20"/>
        </w:rPr>
        <w:t xml:space="preserve">, </w:t>
      </w:r>
      <w:r w:rsidR="005B3787" w:rsidRPr="003E5EB9">
        <w:rPr>
          <w:rFonts w:ascii="Times New Roman" w:hAnsi="Times New Roman" w:cs="Times New Roman"/>
          <w:sz w:val="20"/>
        </w:rPr>
        <w:t>attn. Documentation &amp; Issuance Services, V</w:t>
      </w:r>
      <w:r w:rsidR="00686068">
        <w:rPr>
          <w:rFonts w:ascii="Times New Roman" w:hAnsi="Times New Roman" w:cs="Times New Roman"/>
          <w:sz w:val="20"/>
        </w:rPr>
        <w:t>T</w:t>
      </w:r>
      <w:r w:rsidR="005B3787" w:rsidRPr="003E5EB9">
        <w:rPr>
          <w:rFonts w:ascii="Times New Roman" w:hAnsi="Times New Roman" w:cs="Times New Roman"/>
          <w:sz w:val="20"/>
        </w:rPr>
        <w:t>PD 5, P.O. Box, 8070 Zürich, Switzerland</w:t>
      </w:r>
      <w:r w:rsidR="000F34E5">
        <w:rPr>
          <w:rFonts w:ascii="Times New Roman" w:hAnsi="Times New Roman" w:cs="Times New Roman"/>
          <w:sz w:val="20"/>
        </w:rPr>
        <w:t>.</w:t>
      </w:r>
    </w:p>
    <w:p w14:paraId="0E97A7B3" w14:textId="41EC4BAC" w:rsidR="008F7E68" w:rsidRDefault="008F7E68">
      <w:pPr>
        <w:spacing w:line="240" w:lineRule="auto"/>
        <w:jc w:val="left"/>
        <w:rPr>
          <w:rFonts w:ascii="Times New Roman" w:eastAsiaTheme="minorEastAsia" w:hAnsi="Times New Roman" w:cstheme="minorBidi"/>
          <w:sz w:val="20"/>
          <w:szCs w:val="24"/>
          <w:lang w:eastAsia="zh-TW"/>
        </w:rPr>
      </w:pPr>
    </w:p>
    <w:sectPr w:rsidR="008F7E68" w:rsidSect="0076470E">
      <w:pgSz w:w="11907" w:h="16840" w:code="9"/>
      <w:pgMar w:top="1440" w:right="1440" w:bottom="144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477C4" w14:textId="77777777" w:rsidR="003C318B" w:rsidRDefault="003C318B">
      <w:pPr>
        <w:spacing w:line="240" w:lineRule="auto"/>
      </w:pPr>
      <w:r>
        <w:separator/>
      </w:r>
    </w:p>
  </w:endnote>
  <w:endnote w:type="continuationSeparator" w:id="0">
    <w:p w14:paraId="0F6D2580" w14:textId="77777777" w:rsidR="003C318B" w:rsidRDefault="003C31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altName w:val="Arial"/>
    <w:panose1 w:val="020B0502040504020204"/>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FE44D" w14:textId="77777777" w:rsidR="002C068A" w:rsidRDefault="002C06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2766"/>
      <w:gridCol w:w="2766"/>
      <w:gridCol w:w="2775"/>
    </w:tblGrid>
    <w:tr w:rsidR="00B62A5C" w14:paraId="6AA3F0E1" w14:textId="77777777">
      <w:tc>
        <w:tcPr>
          <w:tcW w:w="1665" w:type="pct"/>
        </w:tcPr>
        <w:p w14:paraId="1893A8EA" w14:textId="77777777" w:rsidR="00E330F5" w:rsidRPr="006D764B" w:rsidRDefault="00E330F5">
          <w:pPr>
            <w:pStyle w:val="Footer"/>
          </w:pPr>
        </w:p>
      </w:tc>
      <w:tc>
        <w:tcPr>
          <w:tcW w:w="1665" w:type="pct"/>
        </w:tcPr>
        <w:p w14:paraId="73C3C54A" w14:textId="77777777" w:rsidR="00E330F5" w:rsidRPr="00111806" w:rsidRDefault="00E330F5" w:rsidP="00C03739">
          <w:pPr>
            <w:pStyle w:val="StandardAshurst"/>
            <w:jc w:val="center"/>
            <w:rPr>
              <w:rStyle w:val="PageNumber"/>
              <w:rFonts w:ascii="Times New Roman" w:hAnsi="Times New Roman"/>
            </w:rPr>
          </w:pPr>
        </w:p>
      </w:tc>
      <w:tc>
        <w:tcPr>
          <w:tcW w:w="1670" w:type="pct"/>
        </w:tcPr>
        <w:p w14:paraId="38748F23" w14:textId="77777777" w:rsidR="00E330F5" w:rsidRPr="006D764B" w:rsidRDefault="00E330F5">
          <w:pPr>
            <w:pStyle w:val="Footer"/>
          </w:pPr>
        </w:p>
      </w:tc>
    </w:tr>
    <w:tr w:rsidR="00B62A5C" w14:paraId="3830344A" w14:textId="77777777">
      <w:tc>
        <w:tcPr>
          <w:tcW w:w="5000" w:type="pct"/>
          <w:gridSpan w:val="3"/>
        </w:tcPr>
        <w:p w14:paraId="2E5CC64D" w14:textId="77777777" w:rsidR="00E330F5" w:rsidRPr="007A4167" w:rsidRDefault="0090499F" w:rsidP="000D436B">
          <w:pPr>
            <w:pStyle w:val="Footer"/>
            <w:jc w:val="center"/>
            <w:rPr>
              <w:rFonts w:ascii="Times New Roman" w:hAnsi="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rPr>
            <w:t>2</w:t>
          </w:r>
          <w:r w:rsidRPr="007A4167">
            <w:rPr>
              <w:rStyle w:val="PageNumber"/>
              <w:rFonts w:ascii="Times New Roman" w:hAnsi="Times New Roman" w:cs="Times New Roman"/>
            </w:rPr>
            <w:fldChar w:fldCharType="end"/>
          </w:r>
        </w:p>
      </w:tc>
    </w:tr>
  </w:tbl>
  <w:p w14:paraId="2C52DD31" w14:textId="77777777" w:rsidR="00E330F5" w:rsidRPr="00454A6C" w:rsidRDefault="00E330F5" w:rsidP="007A17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927D" w14:textId="77777777" w:rsidR="002C068A" w:rsidRDefault="002C06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88903" w14:textId="77777777">
      <w:tc>
        <w:tcPr>
          <w:tcW w:w="1665" w:type="pct"/>
        </w:tcPr>
        <w:p w14:paraId="4F76EC33" w14:textId="77777777" w:rsidR="00E330F5" w:rsidRPr="00F538CF" w:rsidRDefault="00E330F5">
          <w:pPr>
            <w:pStyle w:val="Footer"/>
          </w:pPr>
        </w:p>
      </w:tc>
      <w:tc>
        <w:tcPr>
          <w:tcW w:w="1665" w:type="pct"/>
        </w:tcPr>
        <w:p w14:paraId="20503A25" w14:textId="77777777" w:rsidR="00E330F5" w:rsidRPr="00F538CF" w:rsidRDefault="0090499F" w:rsidP="0005548B">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14:paraId="40D35A35" w14:textId="77777777" w:rsidR="00E330F5" w:rsidRPr="00F538CF" w:rsidRDefault="00E330F5">
          <w:pPr>
            <w:pStyle w:val="Footer"/>
          </w:pPr>
        </w:p>
      </w:tc>
    </w:tr>
    <w:tr w:rsidR="00B62A5C" w14:paraId="002D4156" w14:textId="77777777">
      <w:tc>
        <w:tcPr>
          <w:tcW w:w="5000" w:type="pct"/>
          <w:gridSpan w:val="3"/>
        </w:tcPr>
        <w:p w14:paraId="1EECDED5" w14:textId="77777777" w:rsidR="00E330F5" w:rsidRPr="00F538CF" w:rsidRDefault="0090499F">
          <w:pPr>
            <w:pStyle w:val="Footer"/>
          </w:pPr>
          <w:r w:rsidRPr="00F538CF">
            <w:fldChar w:fldCharType="begin"/>
          </w:r>
          <w:r>
            <w:instrText xml:space="preserve"> DOCPROPERTY  ashurstDocRef  \* MERGEFORMAT </w:instrText>
          </w:r>
          <w:r w:rsidRPr="00F538CF">
            <w:fldChar w:fldCharType="separate"/>
          </w:r>
          <w:r w:rsidR="000C2CC9">
            <w:t>10:10\16 May 2024\EUS_ONPREM\RAMO\363130114.05</w:t>
          </w:r>
          <w:r w:rsidRPr="00F538CF">
            <w:fldChar w:fldCharType="end"/>
          </w:r>
        </w:p>
      </w:tc>
    </w:tr>
  </w:tbl>
  <w:p w14:paraId="63303D4F" w14:textId="77777777" w:rsidR="00E330F5" w:rsidRPr="00F538CF" w:rsidRDefault="00E330F5" w:rsidP="00F538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2264914E" w14:textId="77777777">
      <w:tc>
        <w:tcPr>
          <w:tcW w:w="1665" w:type="pct"/>
        </w:tcPr>
        <w:p w14:paraId="1E5900BC" w14:textId="77777777" w:rsidR="00E330F5" w:rsidRPr="007A4167" w:rsidRDefault="00E330F5">
          <w:pPr>
            <w:pStyle w:val="Footer"/>
            <w:rPr>
              <w:rFonts w:ascii="Times New Roman" w:hAnsi="Times New Roman"/>
            </w:rPr>
          </w:pPr>
        </w:p>
      </w:tc>
      <w:tc>
        <w:tcPr>
          <w:tcW w:w="1665" w:type="pct"/>
        </w:tcPr>
        <w:p w14:paraId="577DFF51" w14:textId="77777777" w:rsidR="00E330F5" w:rsidRPr="007A4167" w:rsidRDefault="0090499F" w:rsidP="0005548B">
          <w:pPr>
            <w:pStyle w:val="StandardAshurst"/>
            <w:jc w:val="center"/>
            <w:rPr>
              <w:rStyle w:val="PageNumber"/>
              <w:rFonts w:ascii="Times New Roman" w:hAnsi="Times New Roman" w:cs="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noProof/>
            </w:rPr>
            <w:t>1</w:t>
          </w:r>
          <w:r w:rsidRPr="007A4167">
            <w:rPr>
              <w:rStyle w:val="PageNumber"/>
              <w:rFonts w:ascii="Times New Roman" w:hAnsi="Times New Roman" w:cs="Times New Roman"/>
            </w:rPr>
            <w:fldChar w:fldCharType="end"/>
          </w:r>
        </w:p>
      </w:tc>
      <w:tc>
        <w:tcPr>
          <w:tcW w:w="1670" w:type="pct"/>
        </w:tcPr>
        <w:p w14:paraId="17B8AA28" w14:textId="77777777" w:rsidR="00E330F5" w:rsidRPr="007A4167" w:rsidRDefault="00E330F5">
          <w:pPr>
            <w:pStyle w:val="Footer"/>
            <w:rPr>
              <w:rFonts w:ascii="Times New Roman" w:hAnsi="Times New Roman"/>
            </w:rPr>
          </w:pPr>
        </w:p>
      </w:tc>
    </w:tr>
    <w:tr w:rsidR="00B62A5C" w14:paraId="0562D7B3" w14:textId="77777777">
      <w:tc>
        <w:tcPr>
          <w:tcW w:w="5000" w:type="pct"/>
          <w:gridSpan w:val="3"/>
        </w:tcPr>
        <w:p w14:paraId="07272FD6" w14:textId="77777777" w:rsidR="00E330F5" w:rsidRPr="007A4167" w:rsidRDefault="00E330F5">
          <w:pPr>
            <w:pStyle w:val="Footer"/>
            <w:rPr>
              <w:rFonts w:ascii="Times New Roman" w:hAnsi="Times New Roman"/>
            </w:rPr>
          </w:pPr>
        </w:p>
      </w:tc>
    </w:tr>
  </w:tbl>
  <w:p w14:paraId="3BF98EEC" w14:textId="77777777" w:rsidR="00E330F5" w:rsidRPr="007A4167" w:rsidRDefault="00E330F5" w:rsidP="00F538CF">
    <w:pPr>
      <w:pStyle w:val="Footer"/>
      <w:rPr>
        <w:rFonts w:ascii="Times New Roman" w:hAnsi="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28E6E" w14:textId="77777777">
      <w:tc>
        <w:tcPr>
          <w:tcW w:w="1665" w:type="pct"/>
        </w:tcPr>
        <w:p w14:paraId="23EE4C60" w14:textId="77777777" w:rsidR="00E330F5" w:rsidRPr="00F538CF" w:rsidRDefault="00E330F5">
          <w:pPr>
            <w:pStyle w:val="Footer"/>
          </w:pPr>
        </w:p>
      </w:tc>
      <w:tc>
        <w:tcPr>
          <w:tcW w:w="1665" w:type="pct"/>
        </w:tcPr>
        <w:p w14:paraId="07F4CE87" w14:textId="77777777" w:rsidR="00E330F5" w:rsidRPr="00F538CF" w:rsidRDefault="0090499F" w:rsidP="0005548B">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14:paraId="55A3C7BD" w14:textId="77777777" w:rsidR="00E330F5" w:rsidRPr="00F538CF" w:rsidRDefault="00E330F5">
          <w:pPr>
            <w:pStyle w:val="Footer"/>
          </w:pPr>
        </w:p>
      </w:tc>
    </w:tr>
    <w:tr w:rsidR="00B62A5C" w14:paraId="375872EB" w14:textId="77777777">
      <w:tc>
        <w:tcPr>
          <w:tcW w:w="5000" w:type="pct"/>
          <w:gridSpan w:val="3"/>
        </w:tcPr>
        <w:p w14:paraId="398ED399" w14:textId="77777777" w:rsidR="00E330F5" w:rsidRPr="00F538CF" w:rsidRDefault="0090499F">
          <w:pPr>
            <w:pStyle w:val="Footer"/>
          </w:pPr>
          <w:r w:rsidRPr="00F538CF">
            <w:fldChar w:fldCharType="begin"/>
          </w:r>
          <w:r>
            <w:instrText xml:space="preserve"> DOCPROPERTY  ashurstDocRef  \* MERGEFORMAT </w:instrText>
          </w:r>
          <w:r w:rsidRPr="00F538CF">
            <w:fldChar w:fldCharType="separate"/>
          </w:r>
          <w:r w:rsidR="000C2CC9">
            <w:t>10:10\16 May 2024\EUS_ONPREM\RAMO\363130114.05</w:t>
          </w:r>
          <w:r w:rsidRPr="00F538CF">
            <w:fldChar w:fldCharType="end"/>
          </w:r>
        </w:p>
      </w:tc>
    </w:tr>
  </w:tbl>
  <w:p w14:paraId="573D6F25" w14:textId="77777777" w:rsidR="00E330F5" w:rsidRPr="00F538CF" w:rsidRDefault="00E330F5" w:rsidP="00F53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07209" w14:textId="77777777" w:rsidR="003C318B" w:rsidRDefault="003C318B">
      <w:pPr>
        <w:spacing w:line="240" w:lineRule="auto"/>
      </w:pPr>
      <w:r>
        <w:separator/>
      </w:r>
    </w:p>
  </w:footnote>
  <w:footnote w:type="continuationSeparator" w:id="0">
    <w:p w14:paraId="6820DD40" w14:textId="77777777" w:rsidR="003C318B" w:rsidRDefault="003C318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3B08" w14:textId="77777777" w:rsidR="002C068A" w:rsidRDefault="002C0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E71F7" w14:textId="77777777" w:rsidR="002C068A" w:rsidRDefault="002C06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495E9" w14:textId="77777777" w:rsidR="002C068A" w:rsidRDefault="002C06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5E4C6" w14:textId="77777777" w:rsidR="00E330F5" w:rsidRPr="00F538CF" w:rsidRDefault="00E330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9906E" w14:textId="77777777" w:rsidR="00E330F5" w:rsidRPr="00F538CF" w:rsidRDefault="00E330F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0346" w14:textId="77777777" w:rsidR="00E330F5" w:rsidRPr="00F538CF" w:rsidRDefault="00E33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17314"/>
    <w:multiLevelType w:val="multilevel"/>
    <w:tmpl w:val="C816984C"/>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1" w15:restartNumberingAfterBreak="0">
    <w:nsid w:val="094A0D3F"/>
    <w:multiLevelType w:val="hybridMultilevel"/>
    <w:tmpl w:val="3968D1D6"/>
    <w:lvl w:ilvl="0" w:tplc="C9266152">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0D92090A" w:tentative="1">
      <w:start w:val="1"/>
      <w:numFmt w:val="bullet"/>
      <w:lvlText w:val="o"/>
      <w:lvlJc w:val="left"/>
      <w:pPr>
        <w:tabs>
          <w:tab w:val="num" w:pos="1440"/>
        </w:tabs>
        <w:ind w:left="1440" w:hanging="360"/>
      </w:pPr>
      <w:rPr>
        <w:rFonts w:ascii="Courier New" w:hAnsi="Courier New" w:cs="Courier New" w:hint="default"/>
      </w:rPr>
    </w:lvl>
    <w:lvl w:ilvl="2" w:tplc="2916ABD8" w:tentative="1">
      <w:start w:val="1"/>
      <w:numFmt w:val="bullet"/>
      <w:lvlText w:val=""/>
      <w:lvlJc w:val="left"/>
      <w:pPr>
        <w:tabs>
          <w:tab w:val="num" w:pos="2160"/>
        </w:tabs>
        <w:ind w:left="2160" w:hanging="360"/>
      </w:pPr>
      <w:rPr>
        <w:rFonts w:ascii="Wingdings" w:hAnsi="Wingdings" w:hint="default"/>
      </w:rPr>
    </w:lvl>
    <w:lvl w:ilvl="3" w:tplc="08CE1E70" w:tentative="1">
      <w:start w:val="1"/>
      <w:numFmt w:val="bullet"/>
      <w:lvlText w:val=""/>
      <w:lvlJc w:val="left"/>
      <w:pPr>
        <w:tabs>
          <w:tab w:val="num" w:pos="2880"/>
        </w:tabs>
        <w:ind w:left="2880" w:hanging="360"/>
      </w:pPr>
      <w:rPr>
        <w:rFonts w:ascii="Symbol" w:hAnsi="Symbol" w:hint="default"/>
      </w:rPr>
    </w:lvl>
    <w:lvl w:ilvl="4" w:tplc="019618E2" w:tentative="1">
      <w:start w:val="1"/>
      <w:numFmt w:val="bullet"/>
      <w:lvlText w:val="o"/>
      <w:lvlJc w:val="left"/>
      <w:pPr>
        <w:tabs>
          <w:tab w:val="num" w:pos="3600"/>
        </w:tabs>
        <w:ind w:left="3600" w:hanging="360"/>
      </w:pPr>
      <w:rPr>
        <w:rFonts w:ascii="Courier New" w:hAnsi="Courier New" w:cs="Courier New" w:hint="default"/>
      </w:rPr>
    </w:lvl>
    <w:lvl w:ilvl="5" w:tplc="DCB475E4" w:tentative="1">
      <w:start w:val="1"/>
      <w:numFmt w:val="bullet"/>
      <w:lvlText w:val=""/>
      <w:lvlJc w:val="left"/>
      <w:pPr>
        <w:tabs>
          <w:tab w:val="num" w:pos="4320"/>
        </w:tabs>
        <w:ind w:left="4320" w:hanging="360"/>
      </w:pPr>
      <w:rPr>
        <w:rFonts w:ascii="Wingdings" w:hAnsi="Wingdings" w:hint="default"/>
      </w:rPr>
    </w:lvl>
    <w:lvl w:ilvl="6" w:tplc="2A961CC0" w:tentative="1">
      <w:start w:val="1"/>
      <w:numFmt w:val="bullet"/>
      <w:lvlText w:val=""/>
      <w:lvlJc w:val="left"/>
      <w:pPr>
        <w:tabs>
          <w:tab w:val="num" w:pos="5040"/>
        </w:tabs>
        <w:ind w:left="5040" w:hanging="360"/>
      </w:pPr>
      <w:rPr>
        <w:rFonts w:ascii="Symbol" w:hAnsi="Symbol" w:hint="default"/>
      </w:rPr>
    </w:lvl>
    <w:lvl w:ilvl="7" w:tplc="5A56E89A" w:tentative="1">
      <w:start w:val="1"/>
      <w:numFmt w:val="bullet"/>
      <w:lvlText w:val="o"/>
      <w:lvlJc w:val="left"/>
      <w:pPr>
        <w:tabs>
          <w:tab w:val="num" w:pos="5760"/>
        </w:tabs>
        <w:ind w:left="5760" w:hanging="360"/>
      </w:pPr>
      <w:rPr>
        <w:rFonts w:ascii="Courier New" w:hAnsi="Courier New" w:cs="Courier New" w:hint="default"/>
      </w:rPr>
    </w:lvl>
    <w:lvl w:ilvl="8" w:tplc="E45AD61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D303A8"/>
    <w:multiLevelType w:val="multilevel"/>
    <w:tmpl w:val="08090023"/>
    <w:styleLink w:val="ArticleSection1"/>
    <w:lvl w:ilvl="0">
      <w:start w:val="1"/>
      <w:numFmt w:val="upperRoman"/>
      <w:lvlText w:val="Article %1."/>
      <w:lvlJc w:val="left"/>
      <w:pPr>
        <w:ind w:left="0" w:firstLine="0"/>
      </w:pPr>
      <w:rPr>
        <w:rFonts w:asciiTheme="minorHAnsi" w:eastAsiaTheme="minorEastAsia"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A21331E"/>
    <w:multiLevelType w:val="multilevel"/>
    <w:tmpl w:val="F89AD8C6"/>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4" w15:restartNumberingAfterBreak="0">
    <w:nsid w:val="0B3F2518"/>
    <w:multiLevelType w:val="multilevel"/>
    <w:tmpl w:val="026C2912"/>
    <w:name w:val="DefSubOC"/>
    <w:lvl w:ilvl="0">
      <w:start w:val="1"/>
      <w:numFmt w:val="none"/>
      <w:pStyle w:val="DefClauseOCAshurst"/>
      <w:suff w:val="nothing"/>
      <w:lvlText w:val=""/>
      <w:lvlJc w:val="left"/>
      <w:pPr>
        <w:ind w:left="0" w:firstLine="0"/>
      </w:pPr>
      <w:rPr>
        <w:rFonts w:hint="default"/>
      </w:rPr>
    </w:lvl>
    <w:lvl w:ilvl="1">
      <w:start w:val="1"/>
      <w:numFmt w:val="lowerLetter"/>
      <w:pStyle w:val="DefSubOCAshurst"/>
      <w:lvlText w:val="(%2)"/>
      <w:lvlJc w:val="left"/>
      <w:pPr>
        <w:tabs>
          <w:tab w:val="num" w:pos="709"/>
        </w:tabs>
        <w:ind w:left="709" w:hanging="709"/>
      </w:pPr>
      <w:rPr>
        <w:rFonts w:hint="default"/>
      </w:rPr>
    </w:lvl>
    <w:lvl w:ilvl="2">
      <w:start w:val="1"/>
      <w:numFmt w:val="lowerRoman"/>
      <w:pStyle w:val="DefSubSubOCAshurst"/>
      <w:lvlText w:val="(%3)"/>
      <w:lvlJc w:val="left"/>
      <w:pPr>
        <w:tabs>
          <w:tab w:val="num" w:pos="1276"/>
        </w:tabs>
        <w:ind w:left="1276"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0F5433D4"/>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0F77C36"/>
    <w:multiLevelType w:val="hybridMultilevel"/>
    <w:tmpl w:val="0804BDDA"/>
    <w:lvl w:ilvl="0" w:tplc="58BEE1B6">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8D488E40" w:tentative="1">
      <w:start w:val="1"/>
      <w:numFmt w:val="bullet"/>
      <w:lvlText w:val="o"/>
      <w:lvlJc w:val="left"/>
      <w:pPr>
        <w:tabs>
          <w:tab w:val="num" w:pos="1440"/>
        </w:tabs>
        <w:ind w:left="1440" w:hanging="360"/>
      </w:pPr>
      <w:rPr>
        <w:rFonts w:ascii="Courier New" w:hAnsi="Courier New" w:cs="Courier New" w:hint="default"/>
      </w:rPr>
    </w:lvl>
    <w:lvl w:ilvl="2" w:tplc="9C3C5172" w:tentative="1">
      <w:start w:val="1"/>
      <w:numFmt w:val="bullet"/>
      <w:lvlText w:val=""/>
      <w:lvlJc w:val="left"/>
      <w:pPr>
        <w:tabs>
          <w:tab w:val="num" w:pos="2160"/>
        </w:tabs>
        <w:ind w:left="2160" w:hanging="360"/>
      </w:pPr>
      <w:rPr>
        <w:rFonts w:ascii="Wingdings" w:hAnsi="Wingdings" w:hint="default"/>
      </w:rPr>
    </w:lvl>
    <w:lvl w:ilvl="3" w:tplc="024A20DC" w:tentative="1">
      <w:start w:val="1"/>
      <w:numFmt w:val="bullet"/>
      <w:lvlText w:val=""/>
      <w:lvlJc w:val="left"/>
      <w:pPr>
        <w:tabs>
          <w:tab w:val="num" w:pos="2880"/>
        </w:tabs>
        <w:ind w:left="2880" w:hanging="360"/>
      </w:pPr>
      <w:rPr>
        <w:rFonts w:ascii="Symbol" w:hAnsi="Symbol" w:hint="default"/>
      </w:rPr>
    </w:lvl>
    <w:lvl w:ilvl="4" w:tplc="210665EE" w:tentative="1">
      <w:start w:val="1"/>
      <w:numFmt w:val="bullet"/>
      <w:lvlText w:val="o"/>
      <w:lvlJc w:val="left"/>
      <w:pPr>
        <w:tabs>
          <w:tab w:val="num" w:pos="3600"/>
        </w:tabs>
        <w:ind w:left="3600" w:hanging="360"/>
      </w:pPr>
      <w:rPr>
        <w:rFonts w:ascii="Courier New" w:hAnsi="Courier New" w:cs="Courier New" w:hint="default"/>
      </w:rPr>
    </w:lvl>
    <w:lvl w:ilvl="5" w:tplc="F7EA6C30" w:tentative="1">
      <w:start w:val="1"/>
      <w:numFmt w:val="bullet"/>
      <w:lvlText w:val=""/>
      <w:lvlJc w:val="left"/>
      <w:pPr>
        <w:tabs>
          <w:tab w:val="num" w:pos="4320"/>
        </w:tabs>
        <w:ind w:left="4320" w:hanging="360"/>
      </w:pPr>
      <w:rPr>
        <w:rFonts w:ascii="Wingdings" w:hAnsi="Wingdings" w:hint="default"/>
      </w:rPr>
    </w:lvl>
    <w:lvl w:ilvl="6" w:tplc="FBB601BE" w:tentative="1">
      <w:start w:val="1"/>
      <w:numFmt w:val="bullet"/>
      <w:lvlText w:val=""/>
      <w:lvlJc w:val="left"/>
      <w:pPr>
        <w:tabs>
          <w:tab w:val="num" w:pos="5040"/>
        </w:tabs>
        <w:ind w:left="5040" w:hanging="360"/>
      </w:pPr>
      <w:rPr>
        <w:rFonts w:ascii="Symbol" w:hAnsi="Symbol" w:hint="default"/>
      </w:rPr>
    </w:lvl>
    <w:lvl w:ilvl="7" w:tplc="4C0CF6D0" w:tentative="1">
      <w:start w:val="1"/>
      <w:numFmt w:val="bullet"/>
      <w:lvlText w:val="o"/>
      <w:lvlJc w:val="left"/>
      <w:pPr>
        <w:tabs>
          <w:tab w:val="num" w:pos="5760"/>
        </w:tabs>
        <w:ind w:left="5760" w:hanging="360"/>
      </w:pPr>
      <w:rPr>
        <w:rFonts w:ascii="Courier New" w:hAnsi="Courier New" w:cs="Courier New" w:hint="default"/>
      </w:rPr>
    </w:lvl>
    <w:lvl w:ilvl="8" w:tplc="0ECE624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05088"/>
    <w:multiLevelType w:val="multilevel"/>
    <w:tmpl w:val="54665EE0"/>
    <w:lvl w:ilvl="0">
      <w:start w:val="1"/>
      <w:numFmt w:val="decimal"/>
      <w:pStyle w:val="AltH1OCAshurst"/>
      <w:lvlText w:val="%1."/>
      <w:lvlJc w:val="left"/>
      <w:pPr>
        <w:tabs>
          <w:tab w:val="num" w:pos="709"/>
        </w:tabs>
        <w:ind w:left="709" w:hanging="709"/>
      </w:pPr>
      <w:rPr>
        <w:rFonts w:hint="default"/>
        <w:b w:val="0"/>
        <w:i w:val="0"/>
        <w:color w:val="auto"/>
      </w:rPr>
    </w:lvl>
    <w:lvl w:ilvl="1">
      <w:start w:val="1"/>
      <w:numFmt w:val="decimal"/>
      <w:pStyle w:val="AltH2OCAshurst"/>
      <w:lvlText w:val="%1.%2"/>
      <w:lvlJc w:val="left"/>
      <w:pPr>
        <w:tabs>
          <w:tab w:val="num" w:pos="709"/>
        </w:tabs>
        <w:ind w:left="709" w:hanging="709"/>
      </w:pPr>
      <w:rPr>
        <w:rFonts w:hint="default"/>
        <w:b w:val="0"/>
        <w:i w:val="0"/>
      </w:rPr>
    </w:lvl>
    <w:lvl w:ilvl="2">
      <w:start w:val="1"/>
      <w:numFmt w:val="lowerLetter"/>
      <w:pStyle w:val="AltH3OCAshurst"/>
      <w:lvlText w:val="(%3)"/>
      <w:lvlJc w:val="left"/>
      <w:pPr>
        <w:tabs>
          <w:tab w:val="num" w:pos="709"/>
        </w:tabs>
        <w:ind w:left="709" w:hanging="709"/>
      </w:pPr>
      <w:rPr>
        <w:rFonts w:hint="default"/>
        <w:b w:val="0"/>
        <w:i w:val="0"/>
        <w:color w:val="auto"/>
      </w:rPr>
    </w:lvl>
    <w:lvl w:ilvl="3">
      <w:start w:val="1"/>
      <w:numFmt w:val="lowerRoman"/>
      <w:pStyle w:val="AltH4OCAshurst"/>
      <w:lvlText w:val="(%4)"/>
      <w:lvlJc w:val="left"/>
      <w:pPr>
        <w:tabs>
          <w:tab w:val="num" w:pos="1276"/>
        </w:tabs>
        <w:ind w:left="1276" w:hanging="567"/>
      </w:pPr>
      <w:rPr>
        <w:rFonts w:hint="default"/>
        <w:b w:val="0"/>
        <w:i w:val="0"/>
      </w:rPr>
    </w:lvl>
    <w:lvl w:ilvl="4">
      <w:start w:val="1"/>
      <w:numFmt w:val="upperLetter"/>
      <w:pStyle w:val="AltH5OCAshurst"/>
      <w:lvlText w:val="(%5)"/>
      <w:lvlJc w:val="left"/>
      <w:pPr>
        <w:tabs>
          <w:tab w:val="num" w:pos="1843"/>
        </w:tabs>
        <w:ind w:left="1843" w:hanging="567"/>
      </w:pPr>
      <w:rPr>
        <w:rFonts w:hint="default"/>
        <w:b w:val="0"/>
        <w:i w:val="0"/>
        <w:color w:val="auto"/>
      </w:rPr>
    </w:lvl>
    <w:lvl w:ilvl="5">
      <w:start w:val="1"/>
      <w:numFmt w:val="decimal"/>
      <w:pStyle w:val="AltH6OCAshurst"/>
      <w:lvlText w:val="(%6)"/>
      <w:lvlJc w:val="left"/>
      <w:pPr>
        <w:tabs>
          <w:tab w:val="num" w:pos="2410"/>
        </w:tabs>
        <w:ind w:left="2410" w:hanging="567"/>
      </w:pPr>
      <w:rPr>
        <w:rFonts w:hint="default"/>
        <w:b w:val="0"/>
        <w:i w:val="0"/>
      </w:rPr>
    </w:lvl>
    <w:lvl w:ilvl="6">
      <w:start w:val="1"/>
      <w:numFmt w:val="lowerLetter"/>
      <w:pStyle w:val="AltH7OCAshurst"/>
      <w:lvlText w:val="(%7)"/>
      <w:lvlJc w:val="left"/>
      <w:pPr>
        <w:tabs>
          <w:tab w:val="num" w:pos="2977"/>
        </w:tabs>
        <w:ind w:left="2977" w:hanging="567"/>
      </w:pPr>
      <w:rPr>
        <w:rFonts w:hint="default"/>
        <w:b w:val="0"/>
        <w:i w:val="0"/>
      </w:rPr>
    </w:lvl>
    <w:lvl w:ilvl="7">
      <w:start w:val="1"/>
      <w:numFmt w:val="lowerRoman"/>
      <w:pStyle w:val="AltH8OCAshurst"/>
      <w:lvlText w:val="(%8)"/>
      <w:lvlJc w:val="left"/>
      <w:pPr>
        <w:tabs>
          <w:tab w:val="num" w:pos="3544"/>
        </w:tabs>
        <w:ind w:left="3544" w:hanging="567"/>
      </w:pPr>
      <w:rPr>
        <w:rFonts w:hint="default"/>
        <w:b w:val="0"/>
        <w:i w:val="0"/>
      </w:rPr>
    </w:lvl>
    <w:lvl w:ilvl="8">
      <w:numFmt w:val="none"/>
      <w:lvlText w:val=""/>
      <w:lvlJc w:val="left"/>
      <w:pPr>
        <w:tabs>
          <w:tab w:val="num" w:pos="0"/>
        </w:tabs>
        <w:ind w:left="0" w:firstLine="0"/>
      </w:pPr>
      <w:rPr>
        <w:rFonts w:hint="default"/>
      </w:rPr>
    </w:lvl>
  </w:abstractNum>
  <w:abstractNum w:abstractNumId="18" w15:restartNumberingAfterBreak="0">
    <w:nsid w:val="171234A1"/>
    <w:multiLevelType w:val="hybridMultilevel"/>
    <w:tmpl w:val="2D42C83A"/>
    <w:lvl w:ilvl="0" w:tplc="B4E693F4">
      <w:start w:val="1"/>
      <w:numFmt w:val="lowerRoman"/>
      <w:lvlText w:val="(%1)"/>
      <w:lvlJc w:val="left"/>
      <w:pPr>
        <w:ind w:left="720" w:hanging="360"/>
      </w:pPr>
    </w:lvl>
    <w:lvl w:ilvl="1" w:tplc="0D8E4CE0">
      <w:start w:val="1"/>
      <w:numFmt w:val="lowerLetter"/>
      <w:lvlText w:val="(%2)"/>
      <w:lvlJc w:val="left"/>
      <w:pPr>
        <w:ind w:left="1440" w:hanging="360"/>
      </w:pPr>
      <w:rPr>
        <w:b w:val="0"/>
        <w:i w:val="0"/>
        <w:caps w:val="0"/>
      </w:rPr>
    </w:lvl>
    <w:lvl w:ilvl="2" w:tplc="0809001B">
      <w:start w:val="1"/>
      <w:numFmt w:val="lowerRoman"/>
      <w:lvlText w:val="%3."/>
      <w:lvlJc w:val="right"/>
      <w:pPr>
        <w:ind w:left="2160" w:hanging="180"/>
      </w:pPr>
    </w:lvl>
    <w:lvl w:ilvl="3" w:tplc="0810C5E8">
      <w:start w:val="1"/>
      <w:numFmt w:val="decimal"/>
      <w:lvlText w:val="%4."/>
      <w:lvlJc w:val="left"/>
      <w:pPr>
        <w:ind w:left="2880" w:hanging="360"/>
      </w:pPr>
      <w:rPr>
        <w:b w:val="0"/>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0"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1" w15:restartNumberingAfterBreak="0">
    <w:nsid w:val="202729C3"/>
    <w:multiLevelType w:val="hybridMultilevel"/>
    <w:tmpl w:val="B72A629E"/>
    <w:lvl w:ilvl="0" w:tplc="5C7C9B42">
      <w:start w:val="1"/>
      <w:numFmt w:val="lowerLetter"/>
      <w:lvlText w:val="(%1)"/>
      <w:lvlJc w:val="left"/>
      <w:pPr>
        <w:ind w:left="927" w:hanging="360"/>
      </w:pPr>
      <w:rPr>
        <w:rFonts w:hint="default"/>
      </w:rPr>
    </w:lvl>
    <w:lvl w:ilvl="1" w:tplc="C688DA64" w:tentative="1">
      <w:start w:val="1"/>
      <w:numFmt w:val="lowerLetter"/>
      <w:lvlText w:val="%2."/>
      <w:lvlJc w:val="left"/>
      <w:pPr>
        <w:ind w:left="1647" w:hanging="360"/>
      </w:pPr>
    </w:lvl>
    <w:lvl w:ilvl="2" w:tplc="D5606410" w:tentative="1">
      <w:start w:val="1"/>
      <w:numFmt w:val="lowerRoman"/>
      <w:lvlText w:val="%3."/>
      <w:lvlJc w:val="right"/>
      <w:pPr>
        <w:ind w:left="2367" w:hanging="180"/>
      </w:pPr>
    </w:lvl>
    <w:lvl w:ilvl="3" w:tplc="5A527924" w:tentative="1">
      <w:start w:val="1"/>
      <w:numFmt w:val="decimal"/>
      <w:lvlText w:val="%4."/>
      <w:lvlJc w:val="left"/>
      <w:pPr>
        <w:ind w:left="3087" w:hanging="360"/>
      </w:pPr>
    </w:lvl>
    <w:lvl w:ilvl="4" w:tplc="BC941294" w:tentative="1">
      <w:start w:val="1"/>
      <w:numFmt w:val="lowerLetter"/>
      <w:lvlText w:val="%5."/>
      <w:lvlJc w:val="left"/>
      <w:pPr>
        <w:ind w:left="3807" w:hanging="360"/>
      </w:pPr>
    </w:lvl>
    <w:lvl w:ilvl="5" w:tplc="35AA1AD0" w:tentative="1">
      <w:start w:val="1"/>
      <w:numFmt w:val="lowerRoman"/>
      <w:lvlText w:val="%6."/>
      <w:lvlJc w:val="right"/>
      <w:pPr>
        <w:ind w:left="4527" w:hanging="180"/>
      </w:pPr>
    </w:lvl>
    <w:lvl w:ilvl="6" w:tplc="187CBA5E" w:tentative="1">
      <w:start w:val="1"/>
      <w:numFmt w:val="decimal"/>
      <w:lvlText w:val="%7."/>
      <w:lvlJc w:val="left"/>
      <w:pPr>
        <w:ind w:left="5247" w:hanging="360"/>
      </w:pPr>
    </w:lvl>
    <w:lvl w:ilvl="7" w:tplc="275A0E64" w:tentative="1">
      <w:start w:val="1"/>
      <w:numFmt w:val="lowerLetter"/>
      <w:lvlText w:val="%8."/>
      <w:lvlJc w:val="left"/>
      <w:pPr>
        <w:ind w:left="5967" w:hanging="360"/>
      </w:pPr>
    </w:lvl>
    <w:lvl w:ilvl="8" w:tplc="95A4326A" w:tentative="1">
      <w:start w:val="1"/>
      <w:numFmt w:val="lowerRoman"/>
      <w:lvlText w:val="%9."/>
      <w:lvlJc w:val="right"/>
      <w:pPr>
        <w:ind w:left="6687" w:hanging="180"/>
      </w:pPr>
    </w:lvl>
  </w:abstractNum>
  <w:abstractNum w:abstractNumId="22"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265377C"/>
    <w:multiLevelType w:val="multilevel"/>
    <w:tmpl w:val="93BE6644"/>
    <w:lvl w:ilvl="0">
      <w:start w:val="1"/>
      <w:numFmt w:val="decimal"/>
      <w:pStyle w:val="H1OCAshurst"/>
      <w:lvlText w:val="%1."/>
      <w:lvlJc w:val="left"/>
      <w:pPr>
        <w:tabs>
          <w:tab w:val="num" w:pos="709"/>
        </w:tabs>
        <w:ind w:left="709" w:hanging="709"/>
      </w:pPr>
      <w:rPr>
        <w:rFonts w:hint="default"/>
        <w:b w:val="0"/>
        <w:i w:val="0"/>
      </w:rPr>
    </w:lvl>
    <w:lvl w:ilvl="1">
      <w:start w:val="1"/>
      <w:numFmt w:val="decimal"/>
      <w:pStyle w:val="H2OCAshurst"/>
      <w:lvlText w:val="%1.%2"/>
      <w:lvlJc w:val="left"/>
      <w:pPr>
        <w:tabs>
          <w:tab w:val="num" w:pos="709"/>
        </w:tabs>
        <w:ind w:left="709" w:hanging="709"/>
      </w:pPr>
      <w:rPr>
        <w:rFonts w:hint="default"/>
        <w:b w:val="0"/>
        <w:i w:val="0"/>
      </w:rPr>
    </w:lvl>
    <w:lvl w:ilvl="2">
      <w:start w:val="1"/>
      <w:numFmt w:val="lowerLetter"/>
      <w:pStyle w:val="H3OCAshurst"/>
      <w:lvlText w:val="(%3)"/>
      <w:lvlJc w:val="left"/>
      <w:pPr>
        <w:tabs>
          <w:tab w:val="num" w:pos="709"/>
        </w:tabs>
        <w:ind w:left="709" w:hanging="709"/>
      </w:pPr>
      <w:rPr>
        <w:rFonts w:hint="default"/>
        <w:b w:val="0"/>
        <w:i w:val="0"/>
      </w:rPr>
    </w:lvl>
    <w:lvl w:ilvl="3">
      <w:start w:val="1"/>
      <w:numFmt w:val="lowerRoman"/>
      <w:pStyle w:val="H4OCAshurst"/>
      <w:lvlText w:val="(%4)"/>
      <w:lvlJc w:val="left"/>
      <w:pPr>
        <w:tabs>
          <w:tab w:val="num" w:pos="1276"/>
        </w:tabs>
        <w:ind w:left="1276" w:hanging="567"/>
      </w:pPr>
      <w:rPr>
        <w:rFonts w:hint="default"/>
        <w:b w:val="0"/>
        <w:i w:val="0"/>
      </w:rPr>
    </w:lvl>
    <w:lvl w:ilvl="4">
      <w:start w:val="1"/>
      <w:numFmt w:val="upperLetter"/>
      <w:pStyle w:val="H5OCAshurst"/>
      <w:lvlText w:val="(%5)"/>
      <w:lvlJc w:val="left"/>
      <w:pPr>
        <w:tabs>
          <w:tab w:val="num" w:pos="1843"/>
        </w:tabs>
        <w:ind w:left="1843" w:hanging="567"/>
      </w:pPr>
      <w:rPr>
        <w:rFonts w:hint="default"/>
        <w:b w:val="0"/>
        <w:i w:val="0"/>
      </w:rPr>
    </w:lvl>
    <w:lvl w:ilvl="5">
      <w:start w:val="1"/>
      <w:numFmt w:val="decimal"/>
      <w:pStyle w:val="H6OCAshurst"/>
      <w:lvlText w:val="(%6)"/>
      <w:lvlJc w:val="left"/>
      <w:pPr>
        <w:tabs>
          <w:tab w:val="num" w:pos="2410"/>
        </w:tabs>
        <w:ind w:left="2410" w:hanging="567"/>
      </w:pPr>
      <w:rPr>
        <w:rFonts w:hint="default"/>
        <w:b w:val="0"/>
        <w:i w:val="0"/>
      </w:rPr>
    </w:lvl>
    <w:lvl w:ilvl="6">
      <w:start w:val="1"/>
      <w:numFmt w:val="lowerLetter"/>
      <w:pStyle w:val="H7OCAshurst"/>
      <w:lvlText w:val="(%7)"/>
      <w:lvlJc w:val="left"/>
      <w:pPr>
        <w:tabs>
          <w:tab w:val="num" w:pos="2977"/>
        </w:tabs>
        <w:ind w:left="2977" w:hanging="567"/>
      </w:pPr>
      <w:rPr>
        <w:rFonts w:hint="default"/>
        <w:b w:val="0"/>
        <w:i w:val="0"/>
      </w:rPr>
    </w:lvl>
    <w:lvl w:ilvl="7">
      <w:start w:val="1"/>
      <w:numFmt w:val="upperRoman"/>
      <w:pStyle w:val="H8OCAshurst"/>
      <w:lvlText w:val="(%8)"/>
      <w:lvlJc w:val="left"/>
      <w:pPr>
        <w:tabs>
          <w:tab w:val="num" w:pos="3544"/>
        </w:tabs>
        <w:ind w:left="3544" w:hanging="567"/>
      </w:pPr>
      <w:rPr>
        <w:rFonts w:hint="default"/>
        <w:b w:val="0"/>
        <w:i w:val="0"/>
        <w:sz w:val="20"/>
      </w:rPr>
    </w:lvl>
    <w:lvl w:ilvl="8">
      <w:start w:val="1"/>
      <w:numFmt w:val="none"/>
      <w:lvlText w:val=""/>
      <w:lvlJc w:val="left"/>
      <w:pPr>
        <w:tabs>
          <w:tab w:val="num" w:pos="0"/>
        </w:tabs>
        <w:ind w:left="0" w:firstLine="0"/>
      </w:pPr>
      <w:rPr>
        <w:rFonts w:hint="default"/>
      </w:rPr>
    </w:lvl>
  </w:abstractNum>
  <w:abstractNum w:abstractNumId="24" w15:restartNumberingAfterBreak="0">
    <w:nsid w:val="229D119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58E76F6"/>
    <w:multiLevelType w:val="hybridMultilevel"/>
    <w:tmpl w:val="F7BC90A4"/>
    <w:lvl w:ilvl="0" w:tplc="08090001">
      <w:start w:val="1"/>
      <w:numFmt w:val="bullet"/>
      <w:lvlText w:val=""/>
      <w:lvlJc w:val="left"/>
      <w:pPr>
        <w:ind w:left="729" w:hanging="360"/>
      </w:pPr>
      <w:rPr>
        <w:rFonts w:ascii="Symbol" w:hAnsi="Symbol" w:hint="default"/>
      </w:rPr>
    </w:lvl>
    <w:lvl w:ilvl="1" w:tplc="08090003" w:tentative="1">
      <w:start w:val="1"/>
      <w:numFmt w:val="bullet"/>
      <w:lvlText w:val="o"/>
      <w:lvlJc w:val="left"/>
      <w:pPr>
        <w:ind w:left="1449" w:hanging="360"/>
      </w:pPr>
      <w:rPr>
        <w:rFonts w:ascii="Courier New" w:hAnsi="Courier New" w:cs="Courier New" w:hint="default"/>
      </w:rPr>
    </w:lvl>
    <w:lvl w:ilvl="2" w:tplc="08090005" w:tentative="1">
      <w:start w:val="1"/>
      <w:numFmt w:val="bullet"/>
      <w:lvlText w:val=""/>
      <w:lvlJc w:val="left"/>
      <w:pPr>
        <w:ind w:left="2169" w:hanging="360"/>
      </w:pPr>
      <w:rPr>
        <w:rFonts w:ascii="Wingdings" w:hAnsi="Wingdings" w:hint="default"/>
      </w:rPr>
    </w:lvl>
    <w:lvl w:ilvl="3" w:tplc="08090001" w:tentative="1">
      <w:start w:val="1"/>
      <w:numFmt w:val="bullet"/>
      <w:lvlText w:val=""/>
      <w:lvlJc w:val="left"/>
      <w:pPr>
        <w:ind w:left="2889" w:hanging="360"/>
      </w:pPr>
      <w:rPr>
        <w:rFonts w:ascii="Symbol" w:hAnsi="Symbol" w:hint="default"/>
      </w:rPr>
    </w:lvl>
    <w:lvl w:ilvl="4" w:tplc="08090003" w:tentative="1">
      <w:start w:val="1"/>
      <w:numFmt w:val="bullet"/>
      <w:lvlText w:val="o"/>
      <w:lvlJc w:val="left"/>
      <w:pPr>
        <w:ind w:left="3609" w:hanging="360"/>
      </w:pPr>
      <w:rPr>
        <w:rFonts w:ascii="Courier New" w:hAnsi="Courier New" w:cs="Courier New" w:hint="default"/>
      </w:rPr>
    </w:lvl>
    <w:lvl w:ilvl="5" w:tplc="08090005" w:tentative="1">
      <w:start w:val="1"/>
      <w:numFmt w:val="bullet"/>
      <w:lvlText w:val=""/>
      <w:lvlJc w:val="left"/>
      <w:pPr>
        <w:ind w:left="4329" w:hanging="360"/>
      </w:pPr>
      <w:rPr>
        <w:rFonts w:ascii="Wingdings" w:hAnsi="Wingdings" w:hint="default"/>
      </w:rPr>
    </w:lvl>
    <w:lvl w:ilvl="6" w:tplc="08090001" w:tentative="1">
      <w:start w:val="1"/>
      <w:numFmt w:val="bullet"/>
      <w:lvlText w:val=""/>
      <w:lvlJc w:val="left"/>
      <w:pPr>
        <w:ind w:left="5049" w:hanging="360"/>
      </w:pPr>
      <w:rPr>
        <w:rFonts w:ascii="Symbol" w:hAnsi="Symbol" w:hint="default"/>
      </w:rPr>
    </w:lvl>
    <w:lvl w:ilvl="7" w:tplc="08090003" w:tentative="1">
      <w:start w:val="1"/>
      <w:numFmt w:val="bullet"/>
      <w:lvlText w:val="o"/>
      <w:lvlJc w:val="left"/>
      <w:pPr>
        <w:ind w:left="5769" w:hanging="360"/>
      </w:pPr>
      <w:rPr>
        <w:rFonts w:ascii="Courier New" w:hAnsi="Courier New" w:cs="Courier New" w:hint="default"/>
      </w:rPr>
    </w:lvl>
    <w:lvl w:ilvl="8" w:tplc="08090005" w:tentative="1">
      <w:start w:val="1"/>
      <w:numFmt w:val="bullet"/>
      <w:lvlText w:val=""/>
      <w:lvlJc w:val="left"/>
      <w:pPr>
        <w:ind w:left="6489" w:hanging="360"/>
      </w:pPr>
      <w:rPr>
        <w:rFonts w:ascii="Wingdings" w:hAnsi="Wingdings" w:hint="default"/>
      </w:rPr>
    </w:lvl>
  </w:abstractNum>
  <w:abstractNum w:abstractNumId="27" w15:restartNumberingAfterBreak="0">
    <w:nsid w:val="29D34DD1"/>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29"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CFF7910"/>
    <w:multiLevelType w:val="multilevel"/>
    <w:tmpl w:val="663C9EFA"/>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2"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3"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7"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8" w15:restartNumberingAfterBreak="0">
    <w:nsid w:val="44302431"/>
    <w:multiLevelType w:val="multilevel"/>
    <w:tmpl w:val="1DBE7566"/>
    <w:lvl w:ilvl="0">
      <w:start w:val="1"/>
      <w:numFmt w:val="decimal"/>
      <w:pStyle w:val="TableNum1OCAshurst"/>
      <w:suff w:val="nothing"/>
      <w:lvlText w:val="%1."/>
      <w:lvlJc w:val="left"/>
      <w:pPr>
        <w:ind w:left="0" w:firstLine="0"/>
      </w:pPr>
      <w:rPr>
        <w:rFonts w:hint="default"/>
        <w:b w:val="0"/>
        <w:i w:val="0"/>
        <w:sz w:val="18"/>
      </w:rPr>
    </w:lvl>
    <w:lvl w:ilvl="1">
      <w:start w:val="1"/>
      <w:numFmt w:val="decimal"/>
      <w:pStyle w:val="TableNum2OCAshurst"/>
      <w:suff w:val="nothing"/>
      <w:lvlText w:val="%1.%2"/>
      <w:lvlJc w:val="left"/>
      <w:pPr>
        <w:ind w:left="0" w:firstLine="0"/>
      </w:pPr>
      <w:rPr>
        <w:rFonts w:hint="default"/>
        <w:b w:val="0"/>
        <w:i w:val="0"/>
        <w:sz w:val="18"/>
        <w:szCs w:val="18"/>
      </w:rPr>
    </w:lvl>
    <w:lvl w:ilvl="2">
      <w:start w:val="1"/>
      <w:numFmt w:val="lowerLetter"/>
      <w:pStyle w:val="TableNum3OCAshurst"/>
      <w:suff w:val="nothing"/>
      <w:lvlText w:val="(%3)"/>
      <w:lvlJc w:val="left"/>
      <w:pPr>
        <w:ind w:left="0" w:firstLine="0"/>
      </w:pPr>
      <w:rPr>
        <w:rFonts w:hint="default"/>
        <w:b w:val="0"/>
        <w:i w:val="0"/>
        <w:sz w:val="18"/>
        <w:szCs w:val="18"/>
      </w:rPr>
    </w:lvl>
    <w:lvl w:ilvl="3">
      <w:start w:val="1"/>
      <w:numFmt w:val="lowerRoman"/>
      <w:pStyle w:val="TableNum4OCAshurst"/>
      <w:suff w:val="nothing"/>
      <w:lvlText w:val="(%4)"/>
      <w:lvlJc w:val="left"/>
      <w:pPr>
        <w:ind w:left="0" w:firstLine="0"/>
      </w:pPr>
      <w:rPr>
        <w:rFonts w:hint="default"/>
        <w:b w:val="0"/>
        <w:i w:val="0"/>
        <w:sz w:val="20"/>
        <w:szCs w:val="20"/>
      </w:rPr>
    </w:lvl>
    <w:lvl w:ilvl="4">
      <w:start w:val="1"/>
      <w:numFmt w:val="upperLetter"/>
      <w:pStyle w:val="TableNum5OCAshurst"/>
      <w:suff w:val="nothing"/>
      <w:lvlText w:val="(%5)"/>
      <w:lvlJc w:val="left"/>
      <w:pPr>
        <w:ind w:left="0" w:firstLine="0"/>
      </w:pPr>
      <w:rPr>
        <w:rFonts w:hint="default"/>
        <w:b w:val="0"/>
        <w:i w:val="0"/>
        <w:sz w:val="18"/>
        <w:szCs w:val="18"/>
      </w:rPr>
    </w:lvl>
    <w:lvl w:ilvl="5">
      <w:start w:val="1"/>
      <w:numFmt w:val="decimal"/>
      <w:pStyle w:val="TableNum6OC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9" w15:restartNumberingAfterBreak="0">
    <w:nsid w:val="4ED1674E"/>
    <w:multiLevelType w:val="multilevel"/>
    <w:tmpl w:val="7406A8A2"/>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766"/>
        </w:tabs>
        <w:ind w:left="766" w:hanging="624"/>
      </w:pPr>
      <w:rPr>
        <w:rFonts w:ascii="Times New Roman" w:hAnsi="Times New Roman" w:cs="Times New Roman" w:hint="default"/>
        <w:b w:val="0"/>
        <w:i w:val="0"/>
        <w:sz w:val="20"/>
        <w:szCs w:val="20"/>
      </w:rPr>
    </w:lvl>
    <w:lvl w:ilvl="2">
      <w:start w:val="1"/>
      <w:numFmt w:val="lowerRoman"/>
      <w:pStyle w:val="DefSubAshurst"/>
      <w:lvlText w:val="(%3)"/>
      <w:lvlJc w:val="left"/>
      <w:pPr>
        <w:tabs>
          <w:tab w:val="num" w:pos="2030"/>
        </w:tabs>
        <w:ind w:left="2030" w:hanging="624"/>
      </w:pPr>
      <w:rPr>
        <w:rFonts w:hint="default"/>
      </w:rPr>
    </w:lvl>
    <w:lvl w:ilvl="3">
      <w:start w:val="1"/>
      <w:numFmt w:val="upperLetter"/>
      <w:pStyle w:val="DefSubSubAshurst"/>
      <w:lvlText w:val="(%4)"/>
      <w:lvlJc w:val="left"/>
      <w:pPr>
        <w:tabs>
          <w:tab w:val="num" w:pos="2654"/>
        </w:tabs>
        <w:ind w:left="2654" w:hanging="624"/>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40" w15:restartNumberingAfterBreak="0">
    <w:nsid w:val="4F011D52"/>
    <w:multiLevelType w:val="multilevel"/>
    <w:tmpl w:val="55A62B56"/>
    <w:name w:val="AltBH1-8OCAshurst"/>
    <w:lvl w:ilvl="0">
      <w:start w:val="1"/>
      <w:numFmt w:val="decimal"/>
      <w:pStyle w:val="AltBH1OCAshurst"/>
      <w:lvlText w:val="%1."/>
      <w:lvlJc w:val="left"/>
      <w:pPr>
        <w:tabs>
          <w:tab w:val="num" w:pos="709"/>
        </w:tabs>
        <w:ind w:left="709" w:hanging="709"/>
      </w:pPr>
      <w:rPr>
        <w:rFonts w:hint="default"/>
        <w:b w:val="0"/>
        <w:i w:val="0"/>
      </w:rPr>
    </w:lvl>
    <w:lvl w:ilvl="1">
      <w:start w:val="1"/>
      <w:numFmt w:val="decimal"/>
      <w:pStyle w:val="AltBH2OCAshurst"/>
      <w:lvlText w:val="%1.%2"/>
      <w:lvlJc w:val="left"/>
      <w:pPr>
        <w:tabs>
          <w:tab w:val="num" w:pos="709"/>
        </w:tabs>
        <w:ind w:left="709" w:hanging="709"/>
      </w:pPr>
      <w:rPr>
        <w:rFonts w:hint="default"/>
        <w:b w:val="0"/>
        <w:i w:val="0"/>
      </w:rPr>
    </w:lvl>
    <w:lvl w:ilvl="2">
      <w:start w:val="1"/>
      <w:numFmt w:val="lowerLetter"/>
      <w:pStyle w:val="AltBH3OCAshurst"/>
      <w:lvlText w:val="(%3)"/>
      <w:lvlJc w:val="left"/>
      <w:pPr>
        <w:tabs>
          <w:tab w:val="num" w:pos="709"/>
        </w:tabs>
        <w:ind w:left="709" w:hanging="709"/>
      </w:pPr>
      <w:rPr>
        <w:rFonts w:hint="default"/>
        <w:b w:val="0"/>
        <w:i w:val="0"/>
      </w:rPr>
    </w:lvl>
    <w:lvl w:ilvl="3">
      <w:start w:val="1"/>
      <w:numFmt w:val="lowerRoman"/>
      <w:pStyle w:val="AltBH4OCAshurst"/>
      <w:lvlText w:val="(%4)"/>
      <w:lvlJc w:val="left"/>
      <w:pPr>
        <w:tabs>
          <w:tab w:val="num" w:pos="1276"/>
        </w:tabs>
        <w:ind w:left="1276" w:hanging="567"/>
      </w:pPr>
      <w:rPr>
        <w:rFonts w:hint="default"/>
        <w:b w:val="0"/>
        <w:i w:val="0"/>
      </w:rPr>
    </w:lvl>
    <w:lvl w:ilvl="4">
      <w:start w:val="1"/>
      <w:numFmt w:val="upperLetter"/>
      <w:pStyle w:val="AltBH5OCAshurst"/>
      <w:lvlText w:val="(%5)"/>
      <w:lvlJc w:val="left"/>
      <w:pPr>
        <w:tabs>
          <w:tab w:val="num" w:pos="1843"/>
        </w:tabs>
        <w:ind w:left="1843" w:hanging="567"/>
      </w:pPr>
      <w:rPr>
        <w:rFonts w:hint="default"/>
        <w:b w:val="0"/>
        <w:i w:val="0"/>
      </w:rPr>
    </w:lvl>
    <w:lvl w:ilvl="5">
      <w:start w:val="1"/>
      <w:numFmt w:val="decimal"/>
      <w:pStyle w:val="AltBH6OCAshurst"/>
      <w:lvlText w:val="(%6)"/>
      <w:lvlJc w:val="left"/>
      <w:pPr>
        <w:tabs>
          <w:tab w:val="num" w:pos="2410"/>
        </w:tabs>
        <w:ind w:left="2410" w:hanging="567"/>
      </w:pPr>
      <w:rPr>
        <w:rFonts w:hint="default"/>
        <w:b w:val="0"/>
        <w:i w:val="0"/>
      </w:rPr>
    </w:lvl>
    <w:lvl w:ilvl="6">
      <w:start w:val="1"/>
      <w:numFmt w:val="lowerLetter"/>
      <w:pStyle w:val="AltBH7OCAShurst"/>
      <w:lvlText w:val="(%7)"/>
      <w:lvlJc w:val="left"/>
      <w:pPr>
        <w:tabs>
          <w:tab w:val="num" w:pos="2977"/>
        </w:tabs>
        <w:ind w:left="2977" w:hanging="567"/>
      </w:pPr>
      <w:rPr>
        <w:rFonts w:hint="default"/>
        <w:b w:val="0"/>
        <w:i w:val="0"/>
      </w:rPr>
    </w:lvl>
    <w:lvl w:ilvl="7">
      <w:start w:val="1"/>
      <w:numFmt w:val="lowerRoman"/>
      <w:pStyle w:val="AltBH8OCAshurst"/>
      <w:lvlText w:val="(%8)"/>
      <w:lvlJc w:val="left"/>
      <w:pPr>
        <w:tabs>
          <w:tab w:val="num" w:pos="3544"/>
        </w:tabs>
        <w:ind w:left="3544" w:hanging="567"/>
      </w:pPr>
      <w:rPr>
        <w:rFonts w:hint="default"/>
      </w:rPr>
    </w:lvl>
    <w:lvl w:ilvl="8">
      <w:start w:val="1"/>
      <w:numFmt w:val="none"/>
      <w:lvlText w:val=""/>
      <w:lvlJc w:val="left"/>
      <w:pPr>
        <w:tabs>
          <w:tab w:val="num" w:pos="0"/>
        </w:tabs>
        <w:ind w:left="0" w:firstLine="0"/>
      </w:pPr>
      <w:rPr>
        <w:rFonts w:hint="default"/>
      </w:rPr>
    </w:lvl>
  </w:abstractNum>
  <w:abstractNum w:abstractNumId="41" w15:restartNumberingAfterBreak="0">
    <w:nsid w:val="4F4B3ADF"/>
    <w:multiLevelType w:val="multilevel"/>
    <w:tmpl w:val="94F4EF9E"/>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191"/>
        </w:tabs>
        <w:ind w:left="1191"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42" w15:restartNumberingAfterBreak="0">
    <w:nsid w:val="57C67C4B"/>
    <w:multiLevelType w:val="hybridMultilevel"/>
    <w:tmpl w:val="E86E7356"/>
    <w:lvl w:ilvl="0" w:tplc="ADECB48C">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EDC05E12" w:tentative="1">
      <w:start w:val="1"/>
      <w:numFmt w:val="bullet"/>
      <w:lvlText w:val="o"/>
      <w:lvlJc w:val="left"/>
      <w:pPr>
        <w:tabs>
          <w:tab w:val="num" w:pos="1440"/>
        </w:tabs>
        <w:ind w:left="1440" w:hanging="360"/>
      </w:pPr>
      <w:rPr>
        <w:rFonts w:ascii="Courier New" w:hAnsi="Courier New" w:cs="Courier New" w:hint="default"/>
      </w:rPr>
    </w:lvl>
    <w:lvl w:ilvl="2" w:tplc="53FC6F48" w:tentative="1">
      <w:start w:val="1"/>
      <w:numFmt w:val="bullet"/>
      <w:lvlText w:val=""/>
      <w:lvlJc w:val="left"/>
      <w:pPr>
        <w:tabs>
          <w:tab w:val="num" w:pos="2160"/>
        </w:tabs>
        <w:ind w:left="2160" w:hanging="360"/>
      </w:pPr>
      <w:rPr>
        <w:rFonts w:ascii="Wingdings" w:hAnsi="Wingdings" w:hint="default"/>
      </w:rPr>
    </w:lvl>
    <w:lvl w:ilvl="3" w:tplc="BF62A1E4" w:tentative="1">
      <w:start w:val="1"/>
      <w:numFmt w:val="bullet"/>
      <w:lvlText w:val=""/>
      <w:lvlJc w:val="left"/>
      <w:pPr>
        <w:tabs>
          <w:tab w:val="num" w:pos="2880"/>
        </w:tabs>
        <w:ind w:left="2880" w:hanging="360"/>
      </w:pPr>
      <w:rPr>
        <w:rFonts w:ascii="Symbol" w:hAnsi="Symbol" w:hint="default"/>
      </w:rPr>
    </w:lvl>
    <w:lvl w:ilvl="4" w:tplc="30E2B6C6" w:tentative="1">
      <w:start w:val="1"/>
      <w:numFmt w:val="bullet"/>
      <w:lvlText w:val="o"/>
      <w:lvlJc w:val="left"/>
      <w:pPr>
        <w:tabs>
          <w:tab w:val="num" w:pos="3600"/>
        </w:tabs>
        <w:ind w:left="3600" w:hanging="360"/>
      </w:pPr>
      <w:rPr>
        <w:rFonts w:ascii="Courier New" w:hAnsi="Courier New" w:cs="Courier New" w:hint="default"/>
      </w:rPr>
    </w:lvl>
    <w:lvl w:ilvl="5" w:tplc="41C69D0A" w:tentative="1">
      <w:start w:val="1"/>
      <w:numFmt w:val="bullet"/>
      <w:lvlText w:val=""/>
      <w:lvlJc w:val="left"/>
      <w:pPr>
        <w:tabs>
          <w:tab w:val="num" w:pos="4320"/>
        </w:tabs>
        <w:ind w:left="4320" w:hanging="360"/>
      </w:pPr>
      <w:rPr>
        <w:rFonts w:ascii="Wingdings" w:hAnsi="Wingdings" w:hint="default"/>
      </w:rPr>
    </w:lvl>
    <w:lvl w:ilvl="6" w:tplc="2CFC3F44" w:tentative="1">
      <w:start w:val="1"/>
      <w:numFmt w:val="bullet"/>
      <w:lvlText w:val=""/>
      <w:lvlJc w:val="left"/>
      <w:pPr>
        <w:tabs>
          <w:tab w:val="num" w:pos="5040"/>
        </w:tabs>
        <w:ind w:left="5040" w:hanging="360"/>
      </w:pPr>
      <w:rPr>
        <w:rFonts w:ascii="Symbol" w:hAnsi="Symbol" w:hint="default"/>
      </w:rPr>
    </w:lvl>
    <w:lvl w:ilvl="7" w:tplc="A6B05E5C" w:tentative="1">
      <w:start w:val="1"/>
      <w:numFmt w:val="bullet"/>
      <w:lvlText w:val="o"/>
      <w:lvlJc w:val="left"/>
      <w:pPr>
        <w:tabs>
          <w:tab w:val="num" w:pos="5760"/>
        </w:tabs>
        <w:ind w:left="5760" w:hanging="360"/>
      </w:pPr>
      <w:rPr>
        <w:rFonts w:ascii="Courier New" w:hAnsi="Courier New" w:cs="Courier New" w:hint="default"/>
      </w:rPr>
    </w:lvl>
    <w:lvl w:ilvl="8" w:tplc="5F4698B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7E6590C"/>
    <w:multiLevelType w:val="hybridMultilevel"/>
    <w:tmpl w:val="3FBC9084"/>
    <w:lvl w:ilvl="0" w:tplc="9EA22F36">
      <w:start w:val="1"/>
      <w:numFmt w:val="decimal"/>
      <w:lvlText w:val="%1."/>
      <w:lvlJc w:val="left"/>
      <w:pPr>
        <w:ind w:left="145" w:hanging="570"/>
      </w:pPr>
      <w:rPr>
        <w:rFonts w:hint="default"/>
      </w:rPr>
    </w:lvl>
    <w:lvl w:ilvl="1" w:tplc="19C29CF0">
      <w:start w:val="1"/>
      <w:numFmt w:val="lowerLetter"/>
      <w:lvlText w:val="(%2)"/>
      <w:lvlJc w:val="left"/>
      <w:pPr>
        <w:ind w:left="865" w:hanging="570"/>
      </w:pPr>
      <w:rPr>
        <w:rFonts w:hint="default"/>
      </w:rPr>
    </w:lvl>
    <w:lvl w:ilvl="2" w:tplc="0809001B" w:tentative="1">
      <w:start w:val="1"/>
      <w:numFmt w:val="lowerRoman"/>
      <w:lvlText w:val="%3."/>
      <w:lvlJc w:val="right"/>
      <w:pPr>
        <w:ind w:left="1375" w:hanging="180"/>
      </w:pPr>
    </w:lvl>
    <w:lvl w:ilvl="3" w:tplc="0809000F" w:tentative="1">
      <w:start w:val="1"/>
      <w:numFmt w:val="decimal"/>
      <w:lvlText w:val="%4."/>
      <w:lvlJc w:val="left"/>
      <w:pPr>
        <w:ind w:left="2095" w:hanging="360"/>
      </w:pPr>
    </w:lvl>
    <w:lvl w:ilvl="4" w:tplc="08090019" w:tentative="1">
      <w:start w:val="1"/>
      <w:numFmt w:val="lowerLetter"/>
      <w:lvlText w:val="%5."/>
      <w:lvlJc w:val="left"/>
      <w:pPr>
        <w:ind w:left="2815" w:hanging="360"/>
      </w:pPr>
    </w:lvl>
    <w:lvl w:ilvl="5" w:tplc="0809001B" w:tentative="1">
      <w:start w:val="1"/>
      <w:numFmt w:val="lowerRoman"/>
      <w:lvlText w:val="%6."/>
      <w:lvlJc w:val="right"/>
      <w:pPr>
        <w:ind w:left="3535" w:hanging="180"/>
      </w:pPr>
    </w:lvl>
    <w:lvl w:ilvl="6" w:tplc="0809000F" w:tentative="1">
      <w:start w:val="1"/>
      <w:numFmt w:val="decimal"/>
      <w:lvlText w:val="%7."/>
      <w:lvlJc w:val="left"/>
      <w:pPr>
        <w:ind w:left="4255" w:hanging="360"/>
      </w:pPr>
    </w:lvl>
    <w:lvl w:ilvl="7" w:tplc="08090019" w:tentative="1">
      <w:start w:val="1"/>
      <w:numFmt w:val="lowerLetter"/>
      <w:lvlText w:val="%8."/>
      <w:lvlJc w:val="left"/>
      <w:pPr>
        <w:ind w:left="4975" w:hanging="360"/>
      </w:pPr>
    </w:lvl>
    <w:lvl w:ilvl="8" w:tplc="0809001B" w:tentative="1">
      <w:start w:val="1"/>
      <w:numFmt w:val="lowerRoman"/>
      <w:lvlText w:val="%9."/>
      <w:lvlJc w:val="right"/>
      <w:pPr>
        <w:ind w:left="5695" w:hanging="180"/>
      </w:pPr>
    </w:lvl>
  </w:abstractNum>
  <w:abstractNum w:abstractNumId="44" w15:restartNumberingAfterBreak="0">
    <w:nsid w:val="58D77A9B"/>
    <w:multiLevelType w:val="hybridMultilevel"/>
    <w:tmpl w:val="6F441260"/>
    <w:name w:val="WW8Num62"/>
    <w:lvl w:ilvl="0" w:tplc="EE82B178">
      <w:start w:val="1"/>
      <w:numFmt w:val="lowerRoman"/>
      <w:lvlText w:val="(%1)"/>
      <w:lvlJc w:val="left"/>
      <w:pPr>
        <w:tabs>
          <w:tab w:val="num" w:pos="2030"/>
        </w:tabs>
        <w:ind w:left="2030" w:hanging="624"/>
      </w:pPr>
      <w:rPr>
        <w:rFonts w:hint="default"/>
        <w:b w:val="0"/>
        <w:i w:val="0"/>
        <w:sz w:val="18"/>
        <w:szCs w:val="18"/>
      </w:rPr>
    </w:lvl>
    <w:lvl w:ilvl="1" w:tplc="CCEE7D58" w:tentative="1">
      <w:start w:val="1"/>
      <w:numFmt w:val="lowerLetter"/>
      <w:lvlText w:val="%2."/>
      <w:lvlJc w:val="left"/>
      <w:pPr>
        <w:tabs>
          <w:tab w:val="num" w:pos="1440"/>
        </w:tabs>
        <w:ind w:left="1440" w:hanging="360"/>
      </w:pPr>
    </w:lvl>
    <w:lvl w:ilvl="2" w:tplc="FCFE63FA" w:tentative="1">
      <w:start w:val="1"/>
      <w:numFmt w:val="lowerRoman"/>
      <w:lvlText w:val="%3."/>
      <w:lvlJc w:val="right"/>
      <w:pPr>
        <w:tabs>
          <w:tab w:val="num" w:pos="2160"/>
        </w:tabs>
        <w:ind w:left="2160" w:hanging="180"/>
      </w:pPr>
    </w:lvl>
    <w:lvl w:ilvl="3" w:tplc="D89EC906" w:tentative="1">
      <w:start w:val="1"/>
      <w:numFmt w:val="decimal"/>
      <w:lvlText w:val="%4."/>
      <w:lvlJc w:val="left"/>
      <w:pPr>
        <w:tabs>
          <w:tab w:val="num" w:pos="2880"/>
        </w:tabs>
        <w:ind w:left="2880" w:hanging="360"/>
      </w:pPr>
    </w:lvl>
    <w:lvl w:ilvl="4" w:tplc="5F78E392" w:tentative="1">
      <w:start w:val="1"/>
      <w:numFmt w:val="lowerLetter"/>
      <w:lvlText w:val="%5."/>
      <w:lvlJc w:val="left"/>
      <w:pPr>
        <w:tabs>
          <w:tab w:val="num" w:pos="3600"/>
        </w:tabs>
        <w:ind w:left="3600" w:hanging="360"/>
      </w:pPr>
    </w:lvl>
    <w:lvl w:ilvl="5" w:tplc="0B9E0482" w:tentative="1">
      <w:start w:val="1"/>
      <w:numFmt w:val="lowerRoman"/>
      <w:lvlText w:val="%6."/>
      <w:lvlJc w:val="right"/>
      <w:pPr>
        <w:tabs>
          <w:tab w:val="num" w:pos="4320"/>
        </w:tabs>
        <w:ind w:left="4320" w:hanging="180"/>
      </w:pPr>
    </w:lvl>
    <w:lvl w:ilvl="6" w:tplc="430A549A" w:tentative="1">
      <w:start w:val="1"/>
      <w:numFmt w:val="decimal"/>
      <w:lvlText w:val="%7."/>
      <w:lvlJc w:val="left"/>
      <w:pPr>
        <w:tabs>
          <w:tab w:val="num" w:pos="5040"/>
        </w:tabs>
        <w:ind w:left="5040" w:hanging="360"/>
      </w:pPr>
    </w:lvl>
    <w:lvl w:ilvl="7" w:tplc="13EEFD3C" w:tentative="1">
      <w:start w:val="1"/>
      <w:numFmt w:val="lowerLetter"/>
      <w:lvlText w:val="%8."/>
      <w:lvlJc w:val="left"/>
      <w:pPr>
        <w:tabs>
          <w:tab w:val="num" w:pos="5760"/>
        </w:tabs>
        <w:ind w:left="5760" w:hanging="360"/>
      </w:pPr>
    </w:lvl>
    <w:lvl w:ilvl="8" w:tplc="99BC4B26" w:tentative="1">
      <w:start w:val="1"/>
      <w:numFmt w:val="lowerRoman"/>
      <w:lvlText w:val="%9."/>
      <w:lvlJc w:val="right"/>
      <w:pPr>
        <w:tabs>
          <w:tab w:val="num" w:pos="6480"/>
        </w:tabs>
        <w:ind w:left="6480" w:hanging="180"/>
      </w:pPr>
    </w:lvl>
  </w:abstractNum>
  <w:abstractNum w:abstractNumId="45"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593047D9"/>
    <w:multiLevelType w:val="hybridMultilevel"/>
    <w:tmpl w:val="622A5644"/>
    <w:lvl w:ilvl="0" w:tplc="ABAA10F4">
      <w:start w:val="1"/>
      <w:numFmt w:val="bullet"/>
      <w:pStyle w:val="BulletAshurst"/>
      <w:lvlText w:val=""/>
      <w:lvlJc w:val="left"/>
      <w:pPr>
        <w:tabs>
          <w:tab w:val="num" w:pos="782"/>
        </w:tabs>
        <w:ind w:left="782" w:hanging="782"/>
      </w:pPr>
      <w:rPr>
        <w:rFonts w:ascii="Symbol" w:hAnsi="Symbol" w:hint="default"/>
      </w:rPr>
    </w:lvl>
    <w:lvl w:ilvl="1" w:tplc="D2E4F4E8" w:tentative="1">
      <w:start w:val="1"/>
      <w:numFmt w:val="bullet"/>
      <w:lvlText w:val="o"/>
      <w:lvlJc w:val="left"/>
      <w:pPr>
        <w:tabs>
          <w:tab w:val="num" w:pos="1440"/>
        </w:tabs>
        <w:ind w:left="1440" w:hanging="360"/>
      </w:pPr>
      <w:rPr>
        <w:rFonts w:ascii="Courier New" w:hAnsi="Courier New" w:cs="Courier New" w:hint="default"/>
      </w:rPr>
    </w:lvl>
    <w:lvl w:ilvl="2" w:tplc="FF18DA58" w:tentative="1">
      <w:start w:val="1"/>
      <w:numFmt w:val="bullet"/>
      <w:lvlText w:val=""/>
      <w:lvlJc w:val="left"/>
      <w:pPr>
        <w:tabs>
          <w:tab w:val="num" w:pos="2160"/>
        </w:tabs>
        <w:ind w:left="2160" w:hanging="360"/>
      </w:pPr>
      <w:rPr>
        <w:rFonts w:ascii="Wingdings" w:hAnsi="Wingdings" w:hint="default"/>
      </w:rPr>
    </w:lvl>
    <w:lvl w:ilvl="3" w:tplc="17DCBAAA" w:tentative="1">
      <w:start w:val="1"/>
      <w:numFmt w:val="bullet"/>
      <w:lvlText w:val=""/>
      <w:lvlJc w:val="left"/>
      <w:pPr>
        <w:tabs>
          <w:tab w:val="num" w:pos="2880"/>
        </w:tabs>
        <w:ind w:left="2880" w:hanging="360"/>
      </w:pPr>
      <w:rPr>
        <w:rFonts w:ascii="Symbol" w:hAnsi="Symbol" w:hint="default"/>
      </w:rPr>
    </w:lvl>
    <w:lvl w:ilvl="4" w:tplc="8636502E" w:tentative="1">
      <w:start w:val="1"/>
      <w:numFmt w:val="bullet"/>
      <w:lvlText w:val="o"/>
      <w:lvlJc w:val="left"/>
      <w:pPr>
        <w:tabs>
          <w:tab w:val="num" w:pos="3600"/>
        </w:tabs>
        <w:ind w:left="3600" w:hanging="360"/>
      </w:pPr>
      <w:rPr>
        <w:rFonts w:ascii="Courier New" w:hAnsi="Courier New" w:cs="Courier New" w:hint="default"/>
      </w:rPr>
    </w:lvl>
    <w:lvl w:ilvl="5" w:tplc="5936CF7E" w:tentative="1">
      <w:start w:val="1"/>
      <w:numFmt w:val="bullet"/>
      <w:lvlText w:val=""/>
      <w:lvlJc w:val="left"/>
      <w:pPr>
        <w:tabs>
          <w:tab w:val="num" w:pos="4320"/>
        </w:tabs>
        <w:ind w:left="4320" w:hanging="360"/>
      </w:pPr>
      <w:rPr>
        <w:rFonts w:ascii="Wingdings" w:hAnsi="Wingdings" w:hint="default"/>
      </w:rPr>
    </w:lvl>
    <w:lvl w:ilvl="6" w:tplc="AE2C6022" w:tentative="1">
      <w:start w:val="1"/>
      <w:numFmt w:val="bullet"/>
      <w:lvlText w:val=""/>
      <w:lvlJc w:val="left"/>
      <w:pPr>
        <w:tabs>
          <w:tab w:val="num" w:pos="5040"/>
        </w:tabs>
        <w:ind w:left="5040" w:hanging="360"/>
      </w:pPr>
      <w:rPr>
        <w:rFonts w:ascii="Symbol" w:hAnsi="Symbol" w:hint="default"/>
      </w:rPr>
    </w:lvl>
    <w:lvl w:ilvl="7" w:tplc="8FA06FF2" w:tentative="1">
      <w:start w:val="1"/>
      <w:numFmt w:val="bullet"/>
      <w:lvlText w:val="o"/>
      <w:lvlJc w:val="left"/>
      <w:pPr>
        <w:tabs>
          <w:tab w:val="num" w:pos="5760"/>
        </w:tabs>
        <w:ind w:left="5760" w:hanging="360"/>
      </w:pPr>
      <w:rPr>
        <w:rFonts w:ascii="Courier New" w:hAnsi="Courier New" w:cs="Courier New" w:hint="default"/>
      </w:rPr>
    </w:lvl>
    <w:lvl w:ilvl="8" w:tplc="0CDCCF4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C027D94"/>
    <w:multiLevelType w:val="hybridMultilevel"/>
    <w:tmpl w:val="191492F6"/>
    <w:lvl w:ilvl="0" w:tplc="66B25B8E">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6158"/>
    <w:multiLevelType w:val="hybridMultilevel"/>
    <w:tmpl w:val="63ECDCCE"/>
    <w:lvl w:ilvl="0" w:tplc="C3E80D0E">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45844ECE" w:tentative="1">
      <w:start w:val="1"/>
      <w:numFmt w:val="bullet"/>
      <w:lvlText w:val="o"/>
      <w:lvlJc w:val="left"/>
      <w:pPr>
        <w:tabs>
          <w:tab w:val="num" w:pos="1440"/>
        </w:tabs>
        <w:ind w:left="1440" w:hanging="360"/>
      </w:pPr>
      <w:rPr>
        <w:rFonts w:ascii="Courier New" w:hAnsi="Courier New" w:cs="Courier New" w:hint="default"/>
      </w:rPr>
    </w:lvl>
    <w:lvl w:ilvl="2" w:tplc="90907238" w:tentative="1">
      <w:start w:val="1"/>
      <w:numFmt w:val="bullet"/>
      <w:lvlText w:val=""/>
      <w:lvlJc w:val="left"/>
      <w:pPr>
        <w:tabs>
          <w:tab w:val="num" w:pos="2160"/>
        </w:tabs>
        <w:ind w:left="2160" w:hanging="360"/>
      </w:pPr>
      <w:rPr>
        <w:rFonts w:ascii="Wingdings" w:hAnsi="Wingdings" w:hint="default"/>
      </w:rPr>
    </w:lvl>
    <w:lvl w:ilvl="3" w:tplc="6D7A671C" w:tentative="1">
      <w:start w:val="1"/>
      <w:numFmt w:val="bullet"/>
      <w:lvlText w:val=""/>
      <w:lvlJc w:val="left"/>
      <w:pPr>
        <w:tabs>
          <w:tab w:val="num" w:pos="2880"/>
        </w:tabs>
        <w:ind w:left="2880" w:hanging="360"/>
      </w:pPr>
      <w:rPr>
        <w:rFonts w:ascii="Symbol" w:hAnsi="Symbol" w:hint="default"/>
      </w:rPr>
    </w:lvl>
    <w:lvl w:ilvl="4" w:tplc="F30A82AC" w:tentative="1">
      <w:start w:val="1"/>
      <w:numFmt w:val="bullet"/>
      <w:lvlText w:val="o"/>
      <w:lvlJc w:val="left"/>
      <w:pPr>
        <w:tabs>
          <w:tab w:val="num" w:pos="3600"/>
        </w:tabs>
        <w:ind w:left="3600" w:hanging="360"/>
      </w:pPr>
      <w:rPr>
        <w:rFonts w:ascii="Courier New" w:hAnsi="Courier New" w:cs="Courier New" w:hint="default"/>
      </w:rPr>
    </w:lvl>
    <w:lvl w:ilvl="5" w:tplc="9C7272E0" w:tentative="1">
      <w:start w:val="1"/>
      <w:numFmt w:val="bullet"/>
      <w:lvlText w:val=""/>
      <w:lvlJc w:val="left"/>
      <w:pPr>
        <w:tabs>
          <w:tab w:val="num" w:pos="4320"/>
        </w:tabs>
        <w:ind w:left="4320" w:hanging="360"/>
      </w:pPr>
      <w:rPr>
        <w:rFonts w:ascii="Wingdings" w:hAnsi="Wingdings" w:hint="default"/>
      </w:rPr>
    </w:lvl>
    <w:lvl w:ilvl="6" w:tplc="5C802174" w:tentative="1">
      <w:start w:val="1"/>
      <w:numFmt w:val="bullet"/>
      <w:lvlText w:val=""/>
      <w:lvlJc w:val="left"/>
      <w:pPr>
        <w:tabs>
          <w:tab w:val="num" w:pos="5040"/>
        </w:tabs>
        <w:ind w:left="5040" w:hanging="360"/>
      </w:pPr>
      <w:rPr>
        <w:rFonts w:ascii="Symbol" w:hAnsi="Symbol" w:hint="default"/>
      </w:rPr>
    </w:lvl>
    <w:lvl w:ilvl="7" w:tplc="CDD63E98" w:tentative="1">
      <w:start w:val="1"/>
      <w:numFmt w:val="bullet"/>
      <w:lvlText w:val="o"/>
      <w:lvlJc w:val="left"/>
      <w:pPr>
        <w:tabs>
          <w:tab w:val="num" w:pos="5760"/>
        </w:tabs>
        <w:ind w:left="5760" w:hanging="360"/>
      </w:pPr>
      <w:rPr>
        <w:rFonts w:ascii="Courier New" w:hAnsi="Courier New" w:cs="Courier New" w:hint="default"/>
      </w:rPr>
    </w:lvl>
    <w:lvl w:ilvl="8" w:tplc="A3D6FC52"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16616F"/>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3"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6D13513A"/>
    <w:multiLevelType w:val="hybridMultilevel"/>
    <w:tmpl w:val="F8AEB498"/>
    <w:lvl w:ilvl="0" w:tplc="21AC27A0">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ADCA9E86" w:tentative="1">
      <w:start w:val="1"/>
      <w:numFmt w:val="bullet"/>
      <w:lvlText w:val="o"/>
      <w:lvlJc w:val="left"/>
      <w:pPr>
        <w:tabs>
          <w:tab w:val="num" w:pos="1440"/>
        </w:tabs>
        <w:ind w:left="1440" w:hanging="360"/>
      </w:pPr>
      <w:rPr>
        <w:rFonts w:ascii="Courier New" w:hAnsi="Courier New" w:cs="Courier New" w:hint="default"/>
      </w:rPr>
    </w:lvl>
    <w:lvl w:ilvl="2" w:tplc="EA9AB01E" w:tentative="1">
      <w:start w:val="1"/>
      <w:numFmt w:val="bullet"/>
      <w:lvlText w:val=""/>
      <w:lvlJc w:val="left"/>
      <w:pPr>
        <w:tabs>
          <w:tab w:val="num" w:pos="2160"/>
        </w:tabs>
        <w:ind w:left="2160" w:hanging="360"/>
      </w:pPr>
      <w:rPr>
        <w:rFonts w:ascii="Wingdings" w:hAnsi="Wingdings" w:hint="default"/>
      </w:rPr>
    </w:lvl>
    <w:lvl w:ilvl="3" w:tplc="FCDC2290" w:tentative="1">
      <w:start w:val="1"/>
      <w:numFmt w:val="bullet"/>
      <w:lvlText w:val=""/>
      <w:lvlJc w:val="left"/>
      <w:pPr>
        <w:tabs>
          <w:tab w:val="num" w:pos="2880"/>
        </w:tabs>
        <w:ind w:left="2880" w:hanging="360"/>
      </w:pPr>
      <w:rPr>
        <w:rFonts w:ascii="Symbol" w:hAnsi="Symbol" w:hint="default"/>
      </w:rPr>
    </w:lvl>
    <w:lvl w:ilvl="4" w:tplc="35208190" w:tentative="1">
      <w:start w:val="1"/>
      <w:numFmt w:val="bullet"/>
      <w:lvlText w:val="o"/>
      <w:lvlJc w:val="left"/>
      <w:pPr>
        <w:tabs>
          <w:tab w:val="num" w:pos="3600"/>
        </w:tabs>
        <w:ind w:left="3600" w:hanging="360"/>
      </w:pPr>
      <w:rPr>
        <w:rFonts w:ascii="Courier New" w:hAnsi="Courier New" w:cs="Courier New" w:hint="default"/>
      </w:rPr>
    </w:lvl>
    <w:lvl w:ilvl="5" w:tplc="0AC80FD4" w:tentative="1">
      <w:start w:val="1"/>
      <w:numFmt w:val="bullet"/>
      <w:lvlText w:val=""/>
      <w:lvlJc w:val="left"/>
      <w:pPr>
        <w:tabs>
          <w:tab w:val="num" w:pos="4320"/>
        </w:tabs>
        <w:ind w:left="4320" w:hanging="360"/>
      </w:pPr>
      <w:rPr>
        <w:rFonts w:ascii="Wingdings" w:hAnsi="Wingdings" w:hint="default"/>
      </w:rPr>
    </w:lvl>
    <w:lvl w:ilvl="6" w:tplc="BB901C06" w:tentative="1">
      <w:start w:val="1"/>
      <w:numFmt w:val="bullet"/>
      <w:lvlText w:val=""/>
      <w:lvlJc w:val="left"/>
      <w:pPr>
        <w:tabs>
          <w:tab w:val="num" w:pos="5040"/>
        </w:tabs>
        <w:ind w:left="5040" w:hanging="360"/>
      </w:pPr>
      <w:rPr>
        <w:rFonts w:ascii="Symbol" w:hAnsi="Symbol" w:hint="default"/>
      </w:rPr>
    </w:lvl>
    <w:lvl w:ilvl="7" w:tplc="9CE47250" w:tentative="1">
      <w:start w:val="1"/>
      <w:numFmt w:val="bullet"/>
      <w:lvlText w:val="o"/>
      <w:lvlJc w:val="left"/>
      <w:pPr>
        <w:tabs>
          <w:tab w:val="num" w:pos="5760"/>
        </w:tabs>
        <w:ind w:left="5760" w:hanging="360"/>
      </w:pPr>
      <w:rPr>
        <w:rFonts w:ascii="Courier New" w:hAnsi="Courier New" w:cs="Courier New" w:hint="default"/>
      </w:rPr>
    </w:lvl>
    <w:lvl w:ilvl="8" w:tplc="EDEE673E"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706C1CD3"/>
    <w:multiLevelType w:val="hybridMultilevel"/>
    <w:tmpl w:val="64323A3C"/>
    <w:lvl w:ilvl="0" w:tplc="FFFFFFFF">
      <w:start w:val="1"/>
      <w:numFmt w:val="decimal"/>
      <w:lvlText w:val="%1."/>
      <w:lvlJc w:val="left"/>
      <w:pPr>
        <w:ind w:left="570" w:hanging="570"/>
      </w:pPr>
      <w:rPr>
        <w:rFonts w:hint="default"/>
      </w:rPr>
    </w:lvl>
    <w:lvl w:ilvl="1" w:tplc="FFFFFFFF">
      <w:start w:val="1"/>
      <w:numFmt w:val="lowerLetter"/>
      <w:lvlText w:val="(%2)"/>
      <w:lvlJc w:val="left"/>
      <w:pPr>
        <w:ind w:left="1290" w:hanging="57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76FF6F28"/>
    <w:multiLevelType w:val="singleLevel"/>
    <w:tmpl w:val="14E04F3A"/>
    <w:lvl w:ilvl="0">
      <w:start w:val="1"/>
      <w:numFmt w:val="bullet"/>
      <w:pStyle w:val="BulletOCAshurst"/>
      <w:lvlText w:val=""/>
      <w:lvlJc w:val="left"/>
      <w:pPr>
        <w:tabs>
          <w:tab w:val="num" w:pos="1561"/>
        </w:tabs>
        <w:ind w:left="1561" w:hanging="709"/>
      </w:pPr>
      <w:rPr>
        <w:rFonts w:ascii="Symbol" w:hAnsi="Symbol" w:hint="default"/>
        <w:b w:val="0"/>
        <w:i w:val="0"/>
        <w:color w:val="auto"/>
        <w:sz w:val="20"/>
      </w:rPr>
    </w:lvl>
  </w:abstractNum>
  <w:abstractNum w:abstractNumId="60" w15:restartNumberingAfterBreak="0">
    <w:nsid w:val="7B792B61"/>
    <w:multiLevelType w:val="hybridMultilevel"/>
    <w:tmpl w:val="AA02C10E"/>
    <w:lvl w:ilvl="0" w:tplc="02BEB110">
      <w:start w:val="1"/>
      <w:numFmt w:val="decimal"/>
      <w:pStyle w:val="PartiesAshurst"/>
      <w:lvlText w:val="(%1)"/>
      <w:lvlJc w:val="left"/>
      <w:pPr>
        <w:tabs>
          <w:tab w:val="num" w:pos="782"/>
        </w:tabs>
        <w:ind w:left="782" w:hanging="782"/>
      </w:pPr>
      <w:rPr>
        <w:rFonts w:hint="default"/>
        <w:b w:val="0"/>
        <w:i w:val="0"/>
        <w:sz w:val="18"/>
        <w:szCs w:val="18"/>
      </w:rPr>
    </w:lvl>
    <w:lvl w:ilvl="1" w:tplc="25162672" w:tentative="1">
      <w:start w:val="1"/>
      <w:numFmt w:val="lowerLetter"/>
      <w:lvlText w:val="%2."/>
      <w:lvlJc w:val="left"/>
      <w:pPr>
        <w:tabs>
          <w:tab w:val="num" w:pos="1440"/>
        </w:tabs>
        <w:ind w:left="1440" w:hanging="360"/>
      </w:pPr>
    </w:lvl>
    <w:lvl w:ilvl="2" w:tplc="372AC76E" w:tentative="1">
      <w:start w:val="1"/>
      <w:numFmt w:val="lowerRoman"/>
      <w:lvlText w:val="%3."/>
      <w:lvlJc w:val="right"/>
      <w:pPr>
        <w:tabs>
          <w:tab w:val="num" w:pos="2160"/>
        </w:tabs>
        <w:ind w:left="2160" w:hanging="180"/>
      </w:pPr>
    </w:lvl>
    <w:lvl w:ilvl="3" w:tplc="6838A4AC" w:tentative="1">
      <w:start w:val="1"/>
      <w:numFmt w:val="decimal"/>
      <w:lvlText w:val="%4."/>
      <w:lvlJc w:val="left"/>
      <w:pPr>
        <w:tabs>
          <w:tab w:val="num" w:pos="2880"/>
        </w:tabs>
        <w:ind w:left="2880" w:hanging="360"/>
      </w:pPr>
    </w:lvl>
    <w:lvl w:ilvl="4" w:tplc="C9D47802" w:tentative="1">
      <w:start w:val="1"/>
      <w:numFmt w:val="lowerLetter"/>
      <w:lvlText w:val="%5."/>
      <w:lvlJc w:val="left"/>
      <w:pPr>
        <w:tabs>
          <w:tab w:val="num" w:pos="3600"/>
        </w:tabs>
        <w:ind w:left="3600" w:hanging="360"/>
      </w:pPr>
    </w:lvl>
    <w:lvl w:ilvl="5" w:tplc="4E78B3F4" w:tentative="1">
      <w:start w:val="1"/>
      <w:numFmt w:val="lowerRoman"/>
      <w:lvlText w:val="%6."/>
      <w:lvlJc w:val="right"/>
      <w:pPr>
        <w:tabs>
          <w:tab w:val="num" w:pos="4320"/>
        </w:tabs>
        <w:ind w:left="4320" w:hanging="180"/>
      </w:pPr>
    </w:lvl>
    <w:lvl w:ilvl="6" w:tplc="4D5410BE" w:tentative="1">
      <w:start w:val="1"/>
      <w:numFmt w:val="decimal"/>
      <w:lvlText w:val="%7."/>
      <w:lvlJc w:val="left"/>
      <w:pPr>
        <w:tabs>
          <w:tab w:val="num" w:pos="5040"/>
        </w:tabs>
        <w:ind w:left="5040" w:hanging="360"/>
      </w:pPr>
    </w:lvl>
    <w:lvl w:ilvl="7" w:tplc="978C3D40" w:tentative="1">
      <w:start w:val="1"/>
      <w:numFmt w:val="lowerLetter"/>
      <w:lvlText w:val="%8."/>
      <w:lvlJc w:val="left"/>
      <w:pPr>
        <w:tabs>
          <w:tab w:val="num" w:pos="5760"/>
        </w:tabs>
        <w:ind w:left="5760" w:hanging="360"/>
      </w:pPr>
    </w:lvl>
    <w:lvl w:ilvl="8" w:tplc="166683DE" w:tentative="1">
      <w:start w:val="1"/>
      <w:numFmt w:val="lowerRoman"/>
      <w:lvlText w:val="%9."/>
      <w:lvlJc w:val="right"/>
      <w:pPr>
        <w:tabs>
          <w:tab w:val="num" w:pos="6480"/>
        </w:tabs>
        <w:ind w:left="6480" w:hanging="180"/>
      </w:pPr>
    </w:lvl>
  </w:abstractNum>
  <w:abstractNum w:abstractNumId="61" w15:restartNumberingAfterBreak="0">
    <w:nsid w:val="7BCD3DD8"/>
    <w:multiLevelType w:val="multilevel"/>
    <w:tmpl w:val="E98052C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62" w15:restartNumberingAfterBreak="0">
    <w:nsid w:val="7CCA31EC"/>
    <w:multiLevelType w:val="hybridMultilevel"/>
    <w:tmpl w:val="4C3E3524"/>
    <w:lvl w:ilvl="0" w:tplc="525E756A">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F46A071E" w:tentative="1">
      <w:start w:val="1"/>
      <w:numFmt w:val="bullet"/>
      <w:lvlText w:val="o"/>
      <w:lvlJc w:val="left"/>
      <w:pPr>
        <w:tabs>
          <w:tab w:val="num" w:pos="1440"/>
        </w:tabs>
        <w:ind w:left="1440" w:hanging="360"/>
      </w:pPr>
      <w:rPr>
        <w:rFonts w:ascii="Courier New" w:hAnsi="Courier New" w:cs="Courier New" w:hint="default"/>
      </w:rPr>
    </w:lvl>
    <w:lvl w:ilvl="2" w:tplc="453A528E" w:tentative="1">
      <w:start w:val="1"/>
      <w:numFmt w:val="bullet"/>
      <w:lvlText w:val=""/>
      <w:lvlJc w:val="left"/>
      <w:pPr>
        <w:tabs>
          <w:tab w:val="num" w:pos="2160"/>
        </w:tabs>
        <w:ind w:left="2160" w:hanging="360"/>
      </w:pPr>
      <w:rPr>
        <w:rFonts w:ascii="Wingdings" w:hAnsi="Wingdings" w:hint="default"/>
      </w:rPr>
    </w:lvl>
    <w:lvl w:ilvl="3" w:tplc="8BDE2CB6" w:tentative="1">
      <w:start w:val="1"/>
      <w:numFmt w:val="bullet"/>
      <w:lvlText w:val=""/>
      <w:lvlJc w:val="left"/>
      <w:pPr>
        <w:tabs>
          <w:tab w:val="num" w:pos="2880"/>
        </w:tabs>
        <w:ind w:left="2880" w:hanging="360"/>
      </w:pPr>
      <w:rPr>
        <w:rFonts w:ascii="Symbol" w:hAnsi="Symbol" w:hint="default"/>
      </w:rPr>
    </w:lvl>
    <w:lvl w:ilvl="4" w:tplc="9B245FEA" w:tentative="1">
      <w:start w:val="1"/>
      <w:numFmt w:val="bullet"/>
      <w:lvlText w:val="o"/>
      <w:lvlJc w:val="left"/>
      <w:pPr>
        <w:tabs>
          <w:tab w:val="num" w:pos="3600"/>
        </w:tabs>
        <w:ind w:left="3600" w:hanging="360"/>
      </w:pPr>
      <w:rPr>
        <w:rFonts w:ascii="Courier New" w:hAnsi="Courier New" w:cs="Courier New" w:hint="default"/>
      </w:rPr>
    </w:lvl>
    <w:lvl w:ilvl="5" w:tplc="2B2CAAD6" w:tentative="1">
      <w:start w:val="1"/>
      <w:numFmt w:val="bullet"/>
      <w:lvlText w:val=""/>
      <w:lvlJc w:val="left"/>
      <w:pPr>
        <w:tabs>
          <w:tab w:val="num" w:pos="4320"/>
        </w:tabs>
        <w:ind w:left="4320" w:hanging="360"/>
      </w:pPr>
      <w:rPr>
        <w:rFonts w:ascii="Wingdings" w:hAnsi="Wingdings" w:hint="default"/>
      </w:rPr>
    </w:lvl>
    <w:lvl w:ilvl="6" w:tplc="40267490" w:tentative="1">
      <w:start w:val="1"/>
      <w:numFmt w:val="bullet"/>
      <w:lvlText w:val=""/>
      <w:lvlJc w:val="left"/>
      <w:pPr>
        <w:tabs>
          <w:tab w:val="num" w:pos="5040"/>
        </w:tabs>
        <w:ind w:left="5040" w:hanging="360"/>
      </w:pPr>
      <w:rPr>
        <w:rFonts w:ascii="Symbol" w:hAnsi="Symbol" w:hint="default"/>
      </w:rPr>
    </w:lvl>
    <w:lvl w:ilvl="7" w:tplc="1462701A" w:tentative="1">
      <w:start w:val="1"/>
      <w:numFmt w:val="bullet"/>
      <w:lvlText w:val="o"/>
      <w:lvlJc w:val="left"/>
      <w:pPr>
        <w:tabs>
          <w:tab w:val="num" w:pos="5760"/>
        </w:tabs>
        <w:ind w:left="5760" w:hanging="360"/>
      </w:pPr>
      <w:rPr>
        <w:rFonts w:ascii="Courier New" w:hAnsi="Courier New" w:cs="Courier New" w:hint="default"/>
      </w:rPr>
    </w:lvl>
    <w:lvl w:ilvl="8" w:tplc="ED72C6D2" w:tentative="1">
      <w:start w:val="1"/>
      <w:numFmt w:val="bullet"/>
      <w:lvlText w:val=""/>
      <w:lvlJc w:val="left"/>
      <w:pPr>
        <w:tabs>
          <w:tab w:val="num" w:pos="6480"/>
        </w:tabs>
        <w:ind w:left="6480" w:hanging="360"/>
      </w:pPr>
      <w:rPr>
        <w:rFonts w:ascii="Wingdings" w:hAnsi="Wingdings" w:hint="default"/>
      </w:rPr>
    </w:lvl>
  </w:abstractNum>
  <w:num w:numId="1" w16cid:durableId="1691485808">
    <w:abstractNumId w:val="20"/>
  </w:num>
  <w:num w:numId="2" w16cid:durableId="149441941">
    <w:abstractNumId w:val="9"/>
  </w:num>
  <w:num w:numId="3" w16cid:durableId="366638315">
    <w:abstractNumId w:val="8"/>
  </w:num>
  <w:num w:numId="4" w16cid:durableId="32002260">
    <w:abstractNumId w:val="7"/>
  </w:num>
  <w:num w:numId="5" w16cid:durableId="1839150926">
    <w:abstractNumId w:val="6"/>
  </w:num>
  <w:num w:numId="6" w16cid:durableId="109052481">
    <w:abstractNumId w:val="5"/>
  </w:num>
  <w:num w:numId="7" w16cid:durableId="847982289">
    <w:abstractNumId w:val="4"/>
  </w:num>
  <w:num w:numId="8" w16cid:durableId="507133213">
    <w:abstractNumId w:val="3"/>
  </w:num>
  <w:num w:numId="9" w16cid:durableId="560019419">
    <w:abstractNumId w:val="2"/>
  </w:num>
  <w:num w:numId="10" w16cid:durableId="2118328993">
    <w:abstractNumId w:val="1"/>
  </w:num>
  <w:num w:numId="11" w16cid:durableId="1075127919">
    <w:abstractNumId w:val="0"/>
  </w:num>
  <w:num w:numId="12" w16cid:durableId="1219633349">
    <w:abstractNumId w:val="27"/>
  </w:num>
  <w:num w:numId="13" w16cid:durableId="126899731">
    <w:abstractNumId w:val="51"/>
  </w:num>
  <w:num w:numId="14" w16cid:durableId="1747413118">
    <w:abstractNumId w:val="15"/>
  </w:num>
  <w:num w:numId="15" w16cid:durableId="1256985789">
    <w:abstractNumId w:val="13"/>
  </w:num>
  <w:num w:numId="16" w16cid:durableId="795831953">
    <w:abstractNumId w:val="28"/>
  </w:num>
  <w:num w:numId="17" w16cid:durableId="2134977556">
    <w:abstractNumId w:val="36"/>
  </w:num>
  <w:num w:numId="18" w16cid:durableId="1349336006">
    <w:abstractNumId w:val="60"/>
  </w:num>
  <w:num w:numId="19" w16cid:durableId="786317279">
    <w:abstractNumId w:val="37"/>
  </w:num>
  <w:num w:numId="20" w16cid:durableId="1910840975">
    <w:abstractNumId w:val="16"/>
  </w:num>
  <w:num w:numId="21" w16cid:durableId="350843328">
    <w:abstractNumId w:val="11"/>
  </w:num>
  <w:num w:numId="22" w16cid:durableId="1495485233">
    <w:abstractNumId w:val="50"/>
  </w:num>
  <w:num w:numId="23" w16cid:durableId="359817122">
    <w:abstractNumId w:val="54"/>
  </w:num>
  <w:num w:numId="24" w16cid:durableId="572399986">
    <w:abstractNumId w:val="62"/>
  </w:num>
  <w:num w:numId="25" w16cid:durableId="1853370245">
    <w:abstractNumId w:val="42"/>
  </w:num>
  <w:num w:numId="26" w16cid:durableId="400446191">
    <w:abstractNumId w:val="10"/>
  </w:num>
  <w:num w:numId="27" w16cid:durableId="136384164">
    <w:abstractNumId w:val="46"/>
  </w:num>
  <w:num w:numId="28" w16cid:durableId="1062286480">
    <w:abstractNumId w:val="32"/>
  </w:num>
  <w:num w:numId="29" w16cid:durableId="1527333019">
    <w:abstractNumId w:val="52"/>
  </w:num>
  <w:num w:numId="30" w16cid:durableId="1934168413">
    <w:abstractNumId w:val="39"/>
  </w:num>
  <w:num w:numId="31" w16cid:durableId="1292253042">
    <w:abstractNumId w:val="61"/>
  </w:num>
  <w:num w:numId="32" w16cid:durableId="1833595360">
    <w:abstractNumId w:val="41"/>
  </w:num>
  <w:num w:numId="33" w16cid:durableId="277759277">
    <w:abstractNumId w:val="19"/>
  </w:num>
  <w:num w:numId="34" w16cid:durableId="826558374">
    <w:abstractNumId w:val="31"/>
  </w:num>
  <w:num w:numId="35" w16cid:durableId="1363090022">
    <w:abstractNumId w:val="17"/>
  </w:num>
  <w:num w:numId="36" w16cid:durableId="1574974770">
    <w:abstractNumId w:val="14"/>
  </w:num>
  <w:num w:numId="37" w16cid:durableId="1768035348">
    <w:abstractNumId w:val="38"/>
  </w:num>
  <w:num w:numId="38" w16cid:durableId="485173015">
    <w:abstractNumId w:val="59"/>
  </w:num>
  <w:num w:numId="39" w16cid:durableId="18210733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1311137">
    <w:abstractNumId w:val="12"/>
  </w:num>
  <w:num w:numId="41" w16cid:durableId="36854272">
    <w:abstractNumId w:val="21"/>
  </w:num>
  <w:num w:numId="42" w16cid:durableId="612400571">
    <w:abstractNumId w:val="43"/>
  </w:num>
  <w:num w:numId="43" w16cid:durableId="1984891112">
    <w:abstractNumId w:val="57"/>
  </w:num>
  <w:num w:numId="44" w16cid:durableId="85226050">
    <w:abstractNumId w:val="26"/>
  </w:num>
  <w:num w:numId="45" w16cid:durableId="1584220830">
    <w:abstractNumId w:val="48"/>
  </w:num>
  <w:num w:numId="46" w16cid:durableId="737900372">
    <w:abstractNumId w:val="40"/>
  </w:num>
  <w:num w:numId="47" w16cid:durableId="842621659">
    <w:abstractNumId w:val="24"/>
  </w:num>
  <w:num w:numId="48" w16cid:durableId="17244070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64777714">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0" w16cid:durableId="3242883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1" w16cid:durableId="839389750">
    <w:abstractNumId w:val="17"/>
    <w:lvlOverride w:ilvl="0">
      <w:startOverride w:val="1"/>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num>
  <w:num w:numId="52" w16cid:durableId="70935187">
    <w:abstractNumId w:val="18"/>
  </w:num>
  <w:num w:numId="53" w16cid:durableId="6214184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4" w16cid:durableId="8912340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revisionView w:formatting="0"/>
  <w:doNotTrackFormatting/>
  <w:defaultTabStop w:val="567"/>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Doc&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7&quot; /&gt;_x000d__x000a_        &lt;item name=&quot;month&quot; value=&quot;5&quot; /&gt;_x000d__x000a_        &lt;item name=&quot;year&quot; value=&quot;2021&quot; /&gt;_x000d__x000a_        &lt;item name=&quot;legacyTemplateName&quot; value=&quot;&quot; /&gt;_x000d__x000a_        &lt;item name=&quot;iwStartFolder&quot; value=&quot;&quot; /&gt;_x000d__x000a_      &lt;/items&gt;_x000d__x000a_    &lt;/set&gt;_x000d__x000a_  &lt;/documentData&gt;_x000d__x000a_&lt;/ashurstDocument&gt;"/>
  </w:docVars>
  <w:rsids>
    <w:rsidRoot w:val="004D4D38"/>
    <w:rsid w:val="00000D00"/>
    <w:rsid w:val="00001C72"/>
    <w:rsid w:val="00002D75"/>
    <w:rsid w:val="00005323"/>
    <w:rsid w:val="00006938"/>
    <w:rsid w:val="00015717"/>
    <w:rsid w:val="00020000"/>
    <w:rsid w:val="00023CE9"/>
    <w:rsid w:val="00032215"/>
    <w:rsid w:val="00034F14"/>
    <w:rsid w:val="00035180"/>
    <w:rsid w:val="000467E8"/>
    <w:rsid w:val="00047672"/>
    <w:rsid w:val="0005125E"/>
    <w:rsid w:val="0005548B"/>
    <w:rsid w:val="00060CE4"/>
    <w:rsid w:val="00061123"/>
    <w:rsid w:val="00063054"/>
    <w:rsid w:val="00070911"/>
    <w:rsid w:val="00070C0E"/>
    <w:rsid w:val="0007172A"/>
    <w:rsid w:val="00075373"/>
    <w:rsid w:val="00077BBE"/>
    <w:rsid w:val="000871B4"/>
    <w:rsid w:val="00092A37"/>
    <w:rsid w:val="00095AC6"/>
    <w:rsid w:val="000B4D61"/>
    <w:rsid w:val="000C2CC9"/>
    <w:rsid w:val="000C521B"/>
    <w:rsid w:val="000C6B99"/>
    <w:rsid w:val="000D0C45"/>
    <w:rsid w:val="000D436B"/>
    <w:rsid w:val="000D5E00"/>
    <w:rsid w:val="000D792E"/>
    <w:rsid w:val="000E39F3"/>
    <w:rsid w:val="000E3D8D"/>
    <w:rsid w:val="000E4BFE"/>
    <w:rsid w:val="000F34E5"/>
    <w:rsid w:val="000F4761"/>
    <w:rsid w:val="000F6CE1"/>
    <w:rsid w:val="00111806"/>
    <w:rsid w:val="0012070D"/>
    <w:rsid w:val="00123C82"/>
    <w:rsid w:val="00125818"/>
    <w:rsid w:val="00126E53"/>
    <w:rsid w:val="00126FF0"/>
    <w:rsid w:val="00135E57"/>
    <w:rsid w:val="00142B35"/>
    <w:rsid w:val="001559AE"/>
    <w:rsid w:val="00156D94"/>
    <w:rsid w:val="001715BF"/>
    <w:rsid w:val="001744E6"/>
    <w:rsid w:val="00177387"/>
    <w:rsid w:val="00183207"/>
    <w:rsid w:val="00183CCB"/>
    <w:rsid w:val="001846F7"/>
    <w:rsid w:val="00185C65"/>
    <w:rsid w:val="0018775C"/>
    <w:rsid w:val="0019234D"/>
    <w:rsid w:val="001957AF"/>
    <w:rsid w:val="001964CE"/>
    <w:rsid w:val="001969ED"/>
    <w:rsid w:val="00196A91"/>
    <w:rsid w:val="001A2242"/>
    <w:rsid w:val="001A450B"/>
    <w:rsid w:val="001B15E8"/>
    <w:rsid w:val="001B21A7"/>
    <w:rsid w:val="001B28CD"/>
    <w:rsid w:val="001B4DDE"/>
    <w:rsid w:val="001C5A42"/>
    <w:rsid w:val="001D03C3"/>
    <w:rsid w:val="001D2322"/>
    <w:rsid w:val="001D2609"/>
    <w:rsid w:val="001D3EE4"/>
    <w:rsid w:val="001D411D"/>
    <w:rsid w:val="001D4C14"/>
    <w:rsid w:val="001D4EF2"/>
    <w:rsid w:val="001D66F1"/>
    <w:rsid w:val="001D6A8F"/>
    <w:rsid w:val="001E0656"/>
    <w:rsid w:val="001E538F"/>
    <w:rsid w:val="001F32C7"/>
    <w:rsid w:val="002063D0"/>
    <w:rsid w:val="002070B6"/>
    <w:rsid w:val="00213531"/>
    <w:rsid w:val="0021527A"/>
    <w:rsid w:val="00216E66"/>
    <w:rsid w:val="0022250A"/>
    <w:rsid w:val="0022294C"/>
    <w:rsid w:val="00231828"/>
    <w:rsid w:val="00232ED9"/>
    <w:rsid w:val="00237DA1"/>
    <w:rsid w:val="002405A4"/>
    <w:rsid w:val="002410B2"/>
    <w:rsid w:val="00243DC4"/>
    <w:rsid w:val="0025223E"/>
    <w:rsid w:val="00252E27"/>
    <w:rsid w:val="00264E65"/>
    <w:rsid w:val="002668D1"/>
    <w:rsid w:val="0026699F"/>
    <w:rsid w:val="00273B6D"/>
    <w:rsid w:val="0027716B"/>
    <w:rsid w:val="0028206C"/>
    <w:rsid w:val="00284F84"/>
    <w:rsid w:val="002967DD"/>
    <w:rsid w:val="00297028"/>
    <w:rsid w:val="00297169"/>
    <w:rsid w:val="002A684B"/>
    <w:rsid w:val="002C068A"/>
    <w:rsid w:val="002C5711"/>
    <w:rsid w:val="002D7602"/>
    <w:rsid w:val="002E091C"/>
    <w:rsid w:val="002E1AA5"/>
    <w:rsid w:val="00305E01"/>
    <w:rsid w:val="00331F45"/>
    <w:rsid w:val="00334D72"/>
    <w:rsid w:val="00334FEB"/>
    <w:rsid w:val="00337993"/>
    <w:rsid w:val="00340BDA"/>
    <w:rsid w:val="0035647D"/>
    <w:rsid w:val="00360997"/>
    <w:rsid w:val="00364115"/>
    <w:rsid w:val="003641CA"/>
    <w:rsid w:val="00372149"/>
    <w:rsid w:val="0038625B"/>
    <w:rsid w:val="003879AC"/>
    <w:rsid w:val="00392AFB"/>
    <w:rsid w:val="003A388E"/>
    <w:rsid w:val="003B1507"/>
    <w:rsid w:val="003B4B36"/>
    <w:rsid w:val="003B5B76"/>
    <w:rsid w:val="003C1FD1"/>
    <w:rsid w:val="003C318B"/>
    <w:rsid w:val="003D0A13"/>
    <w:rsid w:val="003E0B6E"/>
    <w:rsid w:val="003E5EB9"/>
    <w:rsid w:val="003F05E1"/>
    <w:rsid w:val="003F1726"/>
    <w:rsid w:val="00402E3A"/>
    <w:rsid w:val="00404780"/>
    <w:rsid w:val="00414900"/>
    <w:rsid w:val="00415B69"/>
    <w:rsid w:val="00426C49"/>
    <w:rsid w:val="00427B0B"/>
    <w:rsid w:val="004330E4"/>
    <w:rsid w:val="00433637"/>
    <w:rsid w:val="004423E5"/>
    <w:rsid w:val="0044680A"/>
    <w:rsid w:val="00446A24"/>
    <w:rsid w:val="0045051B"/>
    <w:rsid w:val="00451469"/>
    <w:rsid w:val="0045242F"/>
    <w:rsid w:val="00454A6C"/>
    <w:rsid w:val="00471E6B"/>
    <w:rsid w:val="00475C5B"/>
    <w:rsid w:val="004767D9"/>
    <w:rsid w:val="00477642"/>
    <w:rsid w:val="00485E25"/>
    <w:rsid w:val="004910A4"/>
    <w:rsid w:val="00491690"/>
    <w:rsid w:val="00493508"/>
    <w:rsid w:val="00494D8C"/>
    <w:rsid w:val="004A05FB"/>
    <w:rsid w:val="004A2016"/>
    <w:rsid w:val="004A6CBA"/>
    <w:rsid w:val="004A75EA"/>
    <w:rsid w:val="004A7691"/>
    <w:rsid w:val="004B2929"/>
    <w:rsid w:val="004B553E"/>
    <w:rsid w:val="004C26C6"/>
    <w:rsid w:val="004C4862"/>
    <w:rsid w:val="004D4D38"/>
    <w:rsid w:val="004D6B3A"/>
    <w:rsid w:val="004E0AC6"/>
    <w:rsid w:val="004E2611"/>
    <w:rsid w:val="004E546A"/>
    <w:rsid w:val="004E5768"/>
    <w:rsid w:val="004E59BF"/>
    <w:rsid w:val="004E7FB1"/>
    <w:rsid w:val="004F15EE"/>
    <w:rsid w:val="004F2755"/>
    <w:rsid w:val="00507236"/>
    <w:rsid w:val="005213E8"/>
    <w:rsid w:val="005229BE"/>
    <w:rsid w:val="0052627E"/>
    <w:rsid w:val="00533748"/>
    <w:rsid w:val="00537645"/>
    <w:rsid w:val="0054351C"/>
    <w:rsid w:val="00543AB6"/>
    <w:rsid w:val="00543E20"/>
    <w:rsid w:val="00547544"/>
    <w:rsid w:val="005536F1"/>
    <w:rsid w:val="00553B42"/>
    <w:rsid w:val="00555529"/>
    <w:rsid w:val="00566162"/>
    <w:rsid w:val="00570B8C"/>
    <w:rsid w:val="0057297A"/>
    <w:rsid w:val="005750C5"/>
    <w:rsid w:val="00580AF5"/>
    <w:rsid w:val="005816A0"/>
    <w:rsid w:val="00587D55"/>
    <w:rsid w:val="0059068C"/>
    <w:rsid w:val="005A3536"/>
    <w:rsid w:val="005A4C3B"/>
    <w:rsid w:val="005A6660"/>
    <w:rsid w:val="005A7CEA"/>
    <w:rsid w:val="005B3787"/>
    <w:rsid w:val="005B3BF6"/>
    <w:rsid w:val="005C4E33"/>
    <w:rsid w:val="005C6500"/>
    <w:rsid w:val="005C70BC"/>
    <w:rsid w:val="005D04F4"/>
    <w:rsid w:val="005D4A71"/>
    <w:rsid w:val="005D701B"/>
    <w:rsid w:val="005E1765"/>
    <w:rsid w:val="005E3176"/>
    <w:rsid w:val="005E44EB"/>
    <w:rsid w:val="005E5744"/>
    <w:rsid w:val="005F122A"/>
    <w:rsid w:val="005F12C5"/>
    <w:rsid w:val="005F4E23"/>
    <w:rsid w:val="005F626B"/>
    <w:rsid w:val="005F6282"/>
    <w:rsid w:val="005F6648"/>
    <w:rsid w:val="005F7AE4"/>
    <w:rsid w:val="0060045C"/>
    <w:rsid w:val="00603A9E"/>
    <w:rsid w:val="00606F84"/>
    <w:rsid w:val="006116D1"/>
    <w:rsid w:val="00624410"/>
    <w:rsid w:val="00625C91"/>
    <w:rsid w:val="00634374"/>
    <w:rsid w:val="006409DF"/>
    <w:rsid w:val="00645A48"/>
    <w:rsid w:val="00665440"/>
    <w:rsid w:val="00665FB0"/>
    <w:rsid w:val="00671ADE"/>
    <w:rsid w:val="006722A9"/>
    <w:rsid w:val="00673E8C"/>
    <w:rsid w:val="006770F0"/>
    <w:rsid w:val="00686068"/>
    <w:rsid w:val="00687D10"/>
    <w:rsid w:val="00690AB5"/>
    <w:rsid w:val="00692D0A"/>
    <w:rsid w:val="00694E22"/>
    <w:rsid w:val="006956AB"/>
    <w:rsid w:val="00696E5E"/>
    <w:rsid w:val="00697756"/>
    <w:rsid w:val="006A0136"/>
    <w:rsid w:val="006A15C5"/>
    <w:rsid w:val="006A2677"/>
    <w:rsid w:val="006B0B8D"/>
    <w:rsid w:val="006B59B3"/>
    <w:rsid w:val="006B7768"/>
    <w:rsid w:val="006B7E2F"/>
    <w:rsid w:val="006C5606"/>
    <w:rsid w:val="006C5BA1"/>
    <w:rsid w:val="006C6380"/>
    <w:rsid w:val="006D29C5"/>
    <w:rsid w:val="006D2FD3"/>
    <w:rsid w:val="006D764B"/>
    <w:rsid w:val="006F1EC8"/>
    <w:rsid w:val="006F572C"/>
    <w:rsid w:val="006F7E4E"/>
    <w:rsid w:val="007131BA"/>
    <w:rsid w:val="00724E8C"/>
    <w:rsid w:val="00730118"/>
    <w:rsid w:val="0073394C"/>
    <w:rsid w:val="0073642D"/>
    <w:rsid w:val="00736970"/>
    <w:rsid w:val="00737DB2"/>
    <w:rsid w:val="0074137A"/>
    <w:rsid w:val="007628ED"/>
    <w:rsid w:val="0076470E"/>
    <w:rsid w:val="00764755"/>
    <w:rsid w:val="0076571D"/>
    <w:rsid w:val="00766F39"/>
    <w:rsid w:val="00772C30"/>
    <w:rsid w:val="00774F02"/>
    <w:rsid w:val="007779AD"/>
    <w:rsid w:val="00784566"/>
    <w:rsid w:val="00791706"/>
    <w:rsid w:val="00792DFA"/>
    <w:rsid w:val="00794484"/>
    <w:rsid w:val="00794AB3"/>
    <w:rsid w:val="007A17D7"/>
    <w:rsid w:val="007A19FA"/>
    <w:rsid w:val="007A4167"/>
    <w:rsid w:val="007C093C"/>
    <w:rsid w:val="007C0B2B"/>
    <w:rsid w:val="007C3CBF"/>
    <w:rsid w:val="007D003A"/>
    <w:rsid w:val="007D4BAB"/>
    <w:rsid w:val="007D6218"/>
    <w:rsid w:val="007E314E"/>
    <w:rsid w:val="007E3199"/>
    <w:rsid w:val="007F3A7F"/>
    <w:rsid w:val="007F6F49"/>
    <w:rsid w:val="00804781"/>
    <w:rsid w:val="008051AF"/>
    <w:rsid w:val="0080761D"/>
    <w:rsid w:val="008218C7"/>
    <w:rsid w:val="00823492"/>
    <w:rsid w:val="008323D0"/>
    <w:rsid w:val="00833552"/>
    <w:rsid w:val="00833787"/>
    <w:rsid w:val="0083502D"/>
    <w:rsid w:val="00835CD8"/>
    <w:rsid w:val="008364AE"/>
    <w:rsid w:val="00842E74"/>
    <w:rsid w:val="00846D04"/>
    <w:rsid w:val="00853E6C"/>
    <w:rsid w:val="00854047"/>
    <w:rsid w:val="00871AB5"/>
    <w:rsid w:val="00871DE2"/>
    <w:rsid w:val="008860A9"/>
    <w:rsid w:val="0089358F"/>
    <w:rsid w:val="008A55A4"/>
    <w:rsid w:val="008A6398"/>
    <w:rsid w:val="008B0951"/>
    <w:rsid w:val="008B2A02"/>
    <w:rsid w:val="008C24EA"/>
    <w:rsid w:val="008C3262"/>
    <w:rsid w:val="008C4ECF"/>
    <w:rsid w:val="008D4EFD"/>
    <w:rsid w:val="008E3015"/>
    <w:rsid w:val="008E59FC"/>
    <w:rsid w:val="008E7183"/>
    <w:rsid w:val="008F0ECA"/>
    <w:rsid w:val="008F31CD"/>
    <w:rsid w:val="008F43C0"/>
    <w:rsid w:val="008F7826"/>
    <w:rsid w:val="008F7E68"/>
    <w:rsid w:val="00902962"/>
    <w:rsid w:val="009042C2"/>
    <w:rsid w:val="0090499F"/>
    <w:rsid w:val="00910838"/>
    <w:rsid w:val="009137F5"/>
    <w:rsid w:val="0092108E"/>
    <w:rsid w:val="00921312"/>
    <w:rsid w:val="00921D13"/>
    <w:rsid w:val="00922AE8"/>
    <w:rsid w:val="00926CE7"/>
    <w:rsid w:val="0092787D"/>
    <w:rsid w:val="00931EFD"/>
    <w:rsid w:val="009375DF"/>
    <w:rsid w:val="00940388"/>
    <w:rsid w:val="00940885"/>
    <w:rsid w:val="00940DC6"/>
    <w:rsid w:val="0094136C"/>
    <w:rsid w:val="009460F8"/>
    <w:rsid w:val="009479A1"/>
    <w:rsid w:val="00947F03"/>
    <w:rsid w:val="009527F8"/>
    <w:rsid w:val="00953D93"/>
    <w:rsid w:val="00970571"/>
    <w:rsid w:val="00971687"/>
    <w:rsid w:val="009724EC"/>
    <w:rsid w:val="00972852"/>
    <w:rsid w:val="00973444"/>
    <w:rsid w:val="009746A4"/>
    <w:rsid w:val="009771B5"/>
    <w:rsid w:val="00980966"/>
    <w:rsid w:val="009825E1"/>
    <w:rsid w:val="00990EA2"/>
    <w:rsid w:val="0099283B"/>
    <w:rsid w:val="0099508F"/>
    <w:rsid w:val="009A555E"/>
    <w:rsid w:val="009A5D2E"/>
    <w:rsid w:val="009B43D6"/>
    <w:rsid w:val="009B5769"/>
    <w:rsid w:val="009B756E"/>
    <w:rsid w:val="009C1A29"/>
    <w:rsid w:val="009C53F0"/>
    <w:rsid w:val="009D06FC"/>
    <w:rsid w:val="009D12AA"/>
    <w:rsid w:val="009D70FA"/>
    <w:rsid w:val="009F2F58"/>
    <w:rsid w:val="00A023DB"/>
    <w:rsid w:val="00A10D6F"/>
    <w:rsid w:val="00A16450"/>
    <w:rsid w:val="00A220EC"/>
    <w:rsid w:val="00A23384"/>
    <w:rsid w:val="00A30825"/>
    <w:rsid w:val="00A30940"/>
    <w:rsid w:val="00A35F4D"/>
    <w:rsid w:val="00A3766C"/>
    <w:rsid w:val="00A37837"/>
    <w:rsid w:val="00A37D9F"/>
    <w:rsid w:val="00A37ED1"/>
    <w:rsid w:val="00A4116A"/>
    <w:rsid w:val="00A54592"/>
    <w:rsid w:val="00A54EBF"/>
    <w:rsid w:val="00A6003C"/>
    <w:rsid w:val="00A6170E"/>
    <w:rsid w:val="00A6202C"/>
    <w:rsid w:val="00A633D7"/>
    <w:rsid w:val="00A64538"/>
    <w:rsid w:val="00A71632"/>
    <w:rsid w:val="00A75CD5"/>
    <w:rsid w:val="00A80FC7"/>
    <w:rsid w:val="00A81488"/>
    <w:rsid w:val="00A83799"/>
    <w:rsid w:val="00A852DF"/>
    <w:rsid w:val="00A85DA5"/>
    <w:rsid w:val="00A9144A"/>
    <w:rsid w:val="00A93F64"/>
    <w:rsid w:val="00A94C04"/>
    <w:rsid w:val="00AB1F21"/>
    <w:rsid w:val="00AB4AA2"/>
    <w:rsid w:val="00AB7A48"/>
    <w:rsid w:val="00AC0E4D"/>
    <w:rsid w:val="00AE48C8"/>
    <w:rsid w:val="00B110CF"/>
    <w:rsid w:val="00B11548"/>
    <w:rsid w:val="00B13ADA"/>
    <w:rsid w:val="00B262AE"/>
    <w:rsid w:val="00B26DCD"/>
    <w:rsid w:val="00B3385F"/>
    <w:rsid w:val="00B344F6"/>
    <w:rsid w:val="00B407E8"/>
    <w:rsid w:val="00B45453"/>
    <w:rsid w:val="00B527DC"/>
    <w:rsid w:val="00B52CDD"/>
    <w:rsid w:val="00B62A5C"/>
    <w:rsid w:val="00B713C1"/>
    <w:rsid w:val="00B72089"/>
    <w:rsid w:val="00B74889"/>
    <w:rsid w:val="00B85AB5"/>
    <w:rsid w:val="00B8657B"/>
    <w:rsid w:val="00B90080"/>
    <w:rsid w:val="00B9531D"/>
    <w:rsid w:val="00B96C9F"/>
    <w:rsid w:val="00BA2E4D"/>
    <w:rsid w:val="00BA7EC6"/>
    <w:rsid w:val="00BB2E5D"/>
    <w:rsid w:val="00BC417C"/>
    <w:rsid w:val="00BC7010"/>
    <w:rsid w:val="00BD4690"/>
    <w:rsid w:val="00BD482E"/>
    <w:rsid w:val="00BD6159"/>
    <w:rsid w:val="00BE0DAE"/>
    <w:rsid w:val="00BF0212"/>
    <w:rsid w:val="00C024BD"/>
    <w:rsid w:val="00C03739"/>
    <w:rsid w:val="00C053EC"/>
    <w:rsid w:val="00C101F6"/>
    <w:rsid w:val="00C22A20"/>
    <w:rsid w:val="00C30107"/>
    <w:rsid w:val="00C35530"/>
    <w:rsid w:val="00C4575D"/>
    <w:rsid w:val="00C457FE"/>
    <w:rsid w:val="00C515B4"/>
    <w:rsid w:val="00C56E27"/>
    <w:rsid w:val="00C670D7"/>
    <w:rsid w:val="00C76628"/>
    <w:rsid w:val="00C8336F"/>
    <w:rsid w:val="00C8716F"/>
    <w:rsid w:val="00C874DE"/>
    <w:rsid w:val="00C92A4B"/>
    <w:rsid w:val="00C939D9"/>
    <w:rsid w:val="00C97E08"/>
    <w:rsid w:val="00CA2C4A"/>
    <w:rsid w:val="00CA64A0"/>
    <w:rsid w:val="00CB0316"/>
    <w:rsid w:val="00CB38D6"/>
    <w:rsid w:val="00CB4777"/>
    <w:rsid w:val="00CC25ED"/>
    <w:rsid w:val="00CC667F"/>
    <w:rsid w:val="00CE165F"/>
    <w:rsid w:val="00CE2479"/>
    <w:rsid w:val="00CE64E3"/>
    <w:rsid w:val="00CF0FBA"/>
    <w:rsid w:val="00CF363F"/>
    <w:rsid w:val="00CF50C0"/>
    <w:rsid w:val="00CF703F"/>
    <w:rsid w:val="00D11DC5"/>
    <w:rsid w:val="00D212AA"/>
    <w:rsid w:val="00D278F1"/>
    <w:rsid w:val="00D27A1A"/>
    <w:rsid w:val="00D27F12"/>
    <w:rsid w:val="00D50085"/>
    <w:rsid w:val="00D52833"/>
    <w:rsid w:val="00D54043"/>
    <w:rsid w:val="00D565FB"/>
    <w:rsid w:val="00D57F72"/>
    <w:rsid w:val="00D615B2"/>
    <w:rsid w:val="00D6178C"/>
    <w:rsid w:val="00D630E7"/>
    <w:rsid w:val="00D81DB4"/>
    <w:rsid w:val="00D9186D"/>
    <w:rsid w:val="00D918BA"/>
    <w:rsid w:val="00D9218E"/>
    <w:rsid w:val="00D975EE"/>
    <w:rsid w:val="00DA5F4A"/>
    <w:rsid w:val="00DC1D6E"/>
    <w:rsid w:val="00DC2AC2"/>
    <w:rsid w:val="00DD2E11"/>
    <w:rsid w:val="00DD776E"/>
    <w:rsid w:val="00DE0BDA"/>
    <w:rsid w:val="00DE6647"/>
    <w:rsid w:val="00DF6617"/>
    <w:rsid w:val="00DF6975"/>
    <w:rsid w:val="00DF7C7E"/>
    <w:rsid w:val="00E02C54"/>
    <w:rsid w:val="00E03305"/>
    <w:rsid w:val="00E05921"/>
    <w:rsid w:val="00E07CC9"/>
    <w:rsid w:val="00E15232"/>
    <w:rsid w:val="00E17612"/>
    <w:rsid w:val="00E2159F"/>
    <w:rsid w:val="00E23414"/>
    <w:rsid w:val="00E23E5B"/>
    <w:rsid w:val="00E25AC1"/>
    <w:rsid w:val="00E275A5"/>
    <w:rsid w:val="00E330F5"/>
    <w:rsid w:val="00E37647"/>
    <w:rsid w:val="00E41381"/>
    <w:rsid w:val="00E4741E"/>
    <w:rsid w:val="00E74776"/>
    <w:rsid w:val="00E8719D"/>
    <w:rsid w:val="00EA043B"/>
    <w:rsid w:val="00EA0A1A"/>
    <w:rsid w:val="00EA4F70"/>
    <w:rsid w:val="00EA597A"/>
    <w:rsid w:val="00EB631F"/>
    <w:rsid w:val="00EB665F"/>
    <w:rsid w:val="00EB767A"/>
    <w:rsid w:val="00EB7923"/>
    <w:rsid w:val="00EC0C76"/>
    <w:rsid w:val="00EC1F9E"/>
    <w:rsid w:val="00EC397E"/>
    <w:rsid w:val="00EC3A36"/>
    <w:rsid w:val="00EC3EF3"/>
    <w:rsid w:val="00EC72DC"/>
    <w:rsid w:val="00ED037D"/>
    <w:rsid w:val="00ED1699"/>
    <w:rsid w:val="00ED4B71"/>
    <w:rsid w:val="00ED7498"/>
    <w:rsid w:val="00ED74B8"/>
    <w:rsid w:val="00EE1581"/>
    <w:rsid w:val="00EF0391"/>
    <w:rsid w:val="00EF328B"/>
    <w:rsid w:val="00EF5352"/>
    <w:rsid w:val="00EF67F9"/>
    <w:rsid w:val="00F02637"/>
    <w:rsid w:val="00F02913"/>
    <w:rsid w:val="00F04606"/>
    <w:rsid w:val="00F071EA"/>
    <w:rsid w:val="00F107BB"/>
    <w:rsid w:val="00F116E5"/>
    <w:rsid w:val="00F13708"/>
    <w:rsid w:val="00F13F6A"/>
    <w:rsid w:val="00F155B5"/>
    <w:rsid w:val="00F218F0"/>
    <w:rsid w:val="00F25F8F"/>
    <w:rsid w:val="00F310E6"/>
    <w:rsid w:val="00F4240C"/>
    <w:rsid w:val="00F43782"/>
    <w:rsid w:val="00F449C7"/>
    <w:rsid w:val="00F504BE"/>
    <w:rsid w:val="00F51566"/>
    <w:rsid w:val="00F538CF"/>
    <w:rsid w:val="00F5419A"/>
    <w:rsid w:val="00F71623"/>
    <w:rsid w:val="00F722F8"/>
    <w:rsid w:val="00F73E12"/>
    <w:rsid w:val="00F74B24"/>
    <w:rsid w:val="00F75940"/>
    <w:rsid w:val="00F77455"/>
    <w:rsid w:val="00F82393"/>
    <w:rsid w:val="00F848EF"/>
    <w:rsid w:val="00F85654"/>
    <w:rsid w:val="00F93510"/>
    <w:rsid w:val="00F95FD0"/>
    <w:rsid w:val="00FA2D78"/>
    <w:rsid w:val="00FA458E"/>
    <w:rsid w:val="00FA5CF1"/>
    <w:rsid w:val="00FA6539"/>
    <w:rsid w:val="00FB27C5"/>
    <w:rsid w:val="00FC1067"/>
    <w:rsid w:val="00FC5D5F"/>
    <w:rsid w:val="00FD0E8A"/>
    <w:rsid w:val="00FD5AB9"/>
    <w:rsid w:val="00FD63B9"/>
    <w:rsid w:val="00FE7544"/>
    <w:rsid w:val="00FE7647"/>
    <w:rsid w:val="00FE7C2F"/>
    <w:rsid w:val="00FF3F21"/>
    <w:rsid w:val="00FF45E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269A10"/>
  <w15:docId w15:val="{DB878481-2B47-4C8B-98EE-E08FA154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18"/>
        <w:szCs w:val="24"/>
        <w:lang w:val="en-GB" w:eastAsia="zh-TW" w:bidi="ar-SA"/>
      </w:rPr>
    </w:rPrDefault>
    <w:pPrDefault/>
  </w:docDefaults>
  <w:latentStyles w:defLockedState="0" w:defUIPriority="98"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atentStyles>
  <w:style w:type="paragraph" w:default="1" w:styleId="Normal">
    <w:name w:val="Normal"/>
    <w:qFormat/>
    <w:rsid w:val="007131BA"/>
    <w:pPr>
      <w:spacing w:line="264" w:lineRule="auto"/>
      <w:jc w:val="both"/>
    </w:pPr>
    <w:rPr>
      <w:rFonts w:ascii="Verdana" w:eastAsia="Times New Roman" w:hAnsi="Verdana" w:cs="Times New Roman"/>
      <w:szCs w:val="18"/>
      <w:lang w:eastAsia="en-GB"/>
    </w:rPr>
  </w:style>
  <w:style w:type="paragraph" w:styleId="Heading1">
    <w:name w:val="heading 1"/>
    <w:basedOn w:val="NormalAshurst"/>
    <w:uiPriority w:val="98"/>
    <w:semiHidden/>
    <w:rsid w:val="00B12EF5"/>
    <w:pPr>
      <w:numPr>
        <w:numId w:val="1"/>
      </w:numPr>
      <w:outlineLvl w:val="0"/>
    </w:pPr>
    <w:rPr>
      <w:bCs/>
      <w:kern w:val="32"/>
    </w:rPr>
  </w:style>
  <w:style w:type="paragraph" w:styleId="Heading2">
    <w:name w:val="heading 2"/>
    <w:basedOn w:val="NormalAshurst"/>
    <w:uiPriority w:val="98"/>
    <w:semiHidden/>
    <w:rsid w:val="00B12EF5"/>
    <w:pPr>
      <w:numPr>
        <w:ilvl w:val="1"/>
        <w:numId w:val="1"/>
      </w:numPr>
      <w:outlineLvl w:val="1"/>
    </w:pPr>
    <w:rPr>
      <w:bCs/>
      <w:iCs/>
    </w:rPr>
  </w:style>
  <w:style w:type="paragraph" w:styleId="Heading3">
    <w:name w:val="heading 3"/>
    <w:basedOn w:val="NormalAshurst"/>
    <w:uiPriority w:val="98"/>
    <w:semiHidden/>
    <w:rsid w:val="00B12EF5"/>
    <w:pPr>
      <w:numPr>
        <w:ilvl w:val="2"/>
        <w:numId w:val="1"/>
      </w:numPr>
      <w:outlineLvl w:val="2"/>
    </w:pPr>
    <w:rPr>
      <w:bCs/>
    </w:rPr>
  </w:style>
  <w:style w:type="paragraph" w:styleId="Heading4">
    <w:name w:val="heading 4"/>
    <w:basedOn w:val="NormalAshurst"/>
    <w:uiPriority w:val="98"/>
    <w:semiHidden/>
    <w:rsid w:val="00B12EF5"/>
    <w:pPr>
      <w:numPr>
        <w:ilvl w:val="3"/>
        <w:numId w:val="1"/>
      </w:numPr>
      <w:outlineLvl w:val="3"/>
    </w:pPr>
    <w:rPr>
      <w:bCs/>
    </w:rPr>
  </w:style>
  <w:style w:type="paragraph" w:styleId="Heading5">
    <w:name w:val="heading 5"/>
    <w:basedOn w:val="NormalAshurst"/>
    <w:uiPriority w:val="98"/>
    <w:semiHidden/>
    <w:rsid w:val="00B12EF5"/>
    <w:pPr>
      <w:numPr>
        <w:ilvl w:val="4"/>
        <w:numId w:val="1"/>
      </w:numPr>
      <w:outlineLvl w:val="4"/>
    </w:pPr>
    <w:rPr>
      <w:bCs/>
      <w:iCs/>
    </w:rPr>
  </w:style>
  <w:style w:type="paragraph" w:styleId="Heading6">
    <w:name w:val="heading 6"/>
    <w:basedOn w:val="NormalAshurst"/>
    <w:uiPriority w:val="98"/>
    <w:semiHidden/>
    <w:rsid w:val="00B12EF5"/>
    <w:pPr>
      <w:numPr>
        <w:ilvl w:val="5"/>
        <w:numId w:val="1"/>
      </w:numPr>
      <w:outlineLvl w:val="5"/>
    </w:pPr>
    <w:rPr>
      <w:bCs/>
    </w:rPr>
  </w:style>
  <w:style w:type="paragraph" w:styleId="Heading7">
    <w:name w:val="heading 7"/>
    <w:basedOn w:val="NormalAshurst"/>
    <w:uiPriority w:val="98"/>
    <w:semiHidden/>
    <w:rsid w:val="00B12EF5"/>
    <w:pPr>
      <w:numPr>
        <w:ilvl w:val="6"/>
        <w:numId w:val="1"/>
      </w:numPr>
      <w:outlineLvl w:val="6"/>
    </w:pPr>
  </w:style>
  <w:style w:type="paragraph" w:styleId="Heading8">
    <w:name w:val="heading 8"/>
    <w:basedOn w:val="NormalAshurst"/>
    <w:uiPriority w:val="98"/>
    <w:semiHidden/>
    <w:rsid w:val="00B12EF5"/>
    <w:pPr>
      <w:numPr>
        <w:ilvl w:val="7"/>
        <w:numId w:val="1"/>
      </w:numPr>
      <w:outlineLvl w:val="7"/>
    </w:pPr>
    <w:rPr>
      <w:iCs/>
    </w:rPr>
  </w:style>
  <w:style w:type="paragraph" w:styleId="Heading9">
    <w:name w:val="heading 9"/>
    <w:basedOn w:val="NormalAshurst"/>
    <w:uiPriority w:val="98"/>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B12EF5"/>
    <w:pPr>
      <w:suppressAutoHyphens/>
      <w:spacing w:after="220" w:line="264" w:lineRule="auto"/>
      <w:jc w:val="both"/>
    </w:pPr>
  </w:style>
  <w:style w:type="paragraph" w:customStyle="1" w:styleId="StandardAshurst">
    <w:name w:val="StandardAshurst"/>
    <w:basedOn w:val="NormalAshurst"/>
    <w:link w:val="StandardAshurstChar"/>
    <w:qFormat/>
    <w:rsid w:val="00B12EF5"/>
    <w:pPr>
      <w:spacing w:after="0"/>
    </w:pPr>
  </w:style>
  <w:style w:type="paragraph" w:styleId="Index1">
    <w:name w:val="index 1"/>
    <w:basedOn w:val="Normal"/>
    <w:next w:val="Normal"/>
    <w:uiPriority w:val="98"/>
    <w:semiHidden/>
    <w:rsid w:val="00B12EF5"/>
    <w:pPr>
      <w:spacing w:line="240" w:lineRule="auto"/>
      <w:ind w:left="180" w:hanging="180"/>
    </w:pPr>
  </w:style>
  <w:style w:type="paragraph" w:customStyle="1" w:styleId="B3Ashurst">
    <w:name w:val="B3Ashurst"/>
    <w:basedOn w:val="NormalAshurst"/>
    <w:uiPriority w:val="2"/>
    <w:qFormat/>
    <w:rsid w:val="00B12EF5"/>
    <w:pPr>
      <w:tabs>
        <w:tab w:val="left" w:pos="2030"/>
        <w:tab w:val="left" w:pos="2654"/>
        <w:tab w:val="left" w:pos="3277"/>
        <w:tab w:val="left" w:pos="3901"/>
      </w:tabs>
      <w:ind w:left="1406"/>
    </w:pPr>
  </w:style>
  <w:style w:type="paragraph" w:customStyle="1" w:styleId="BAshurst">
    <w:name w:val="BAshurst"/>
    <w:basedOn w:val="NormalAshurst"/>
    <w:uiPriority w:val="79"/>
    <w:rsid w:val="00B12EF5"/>
    <w:pPr>
      <w:tabs>
        <w:tab w:val="left" w:pos="782"/>
        <w:tab w:val="left" w:pos="1406"/>
        <w:tab w:val="left" w:pos="2030"/>
        <w:tab w:val="left" w:pos="2654"/>
        <w:tab w:val="left" w:pos="3277"/>
        <w:tab w:val="left" w:pos="3901"/>
      </w:tabs>
    </w:pPr>
  </w:style>
  <w:style w:type="paragraph" w:customStyle="1" w:styleId="B4Ashurst">
    <w:name w:val="B4Ashurst"/>
    <w:basedOn w:val="NormalAshurst"/>
    <w:uiPriority w:val="56"/>
    <w:rsid w:val="00B12EF5"/>
    <w:pPr>
      <w:tabs>
        <w:tab w:val="left" w:pos="2654"/>
        <w:tab w:val="left" w:pos="3277"/>
        <w:tab w:val="left" w:pos="3901"/>
      </w:tabs>
      <w:ind w:left="2030"/>
    </w:pPr>
  </w:style>
  <w:style w:type="paragraph" w:customStyle="1" w:styleId="B5Ashurst">
    <w:name w:val="B5Ashurst"/>
    <w:basedOn w:val="NormalAshurst"/>
    <w:uiPriority w:val="56"/>
    <w:rsid w:val="00B12EF5"/>
    <w:pPr>
      <w:tabs>
        <w:tab w:val="left" w:pos="3277"/>
        <w:tab w:val="left" w:pos="3901"/>
      </w:tabs>
      <w:ind w:left="2654"/>
    </w:pPr>
  </w:style>
  <w:style w:type="paragraph" w:customStyle="1" w:styleId="B6Ashurst">
    <w:name w:val="B6Ashurst"/>
    <w:basedOn w:val="NormalAshurst"/>
    <w:uiPriority w:val="56"/>
    <w:rsid w:val="00B12EF5"/>
    <w:pPr>
      <w:tabs>
        <w:tab w:val="left" w:pos="3901"/>
      </w:tabs>
      <w:ind w:left="3277"/>
    </w:pPr>
  </w:style>
  <w:style w:type="paragraph" w:customStyle="1" w:styleId="CBOLDCAPSAshurst">
    <w:name w:val="CBOLDCAPSAshurst"/>
    <w:basedOn w:val="NormalAshurst"/>
    <w:uiPriority w:val="60"/>
    <w:rsid w:val="00B12EF5"/>
    <w:pPr>
      <w:keepNext/>
      <w:jc w:val="center"/>
    </w:pPr>
    <w:rPr>
      <w:b/>
      <w:caps/>
    </w:rPr>
  </w:style>
  <w:style w:type="paragraph" w:customStyle="1" w:styleId="EndnoteMore">
    <w:name w:val="Endnote More"/>
    <w:basedOn w:val="FootnoteMore"/>
    <w:uiPriority w:val="79"/>
    <w:rsid w:val="00B12EF5"/>
  </w:style>
  <w:style w:type="paragraph" w:customStyle="1" w:styleId="LBOLDCAPSAshurst">
    <w:name w:val="LBOLDCAPSAshurst"/>
    <w:basedOn w:val="NormalAshurst"/>
    <w:uiPriority w:val="60"/>
    <w:rsid w:val="00B12EF5"/>
    <w:pPr>
      <w:keepNext/>
      <w:jc w:val="left"/>
    </w:pPr>
    <w:rPr>
      <w:b/>
      <w:caps/>
    </w:rPr>
  </w:style>
  <w:style w:type="paragraph" w:customStyle="1" w:styleId="RBOLDCAPSAshurst">
    <w:name w:val="RBOLDCAPSAshurst"/>
    <w:basedOn w:val="NormalAshurst"/>
    <w:uiPriority w:val="60"/>
    <w:rsid w:val="00B12EF5"/>
    <w:pPr>
      <w:keepNext/>
      <w:jc w:val="right"/>
    </w:pPr>
    <w:rPr>
      <w:b/>
      <w:caps/>
    </w:rPr>
  </w:style>
  <w:style w:type="paragraph" w:customStyle="1" w:styleId="SCHEDULEAshurst">
    <w:name w:val="SCHEDULEAshurst"/>
    <w:basedOn w:val="NormalAshurst"/>
    <w:next w:val="SchSubAshurst"/>
    <w:uiPriority w:val="79"/>
    <w:rsid w:val="00B12EF5"/>
    <w:pPr>
      <w:keepNext/>
      <w:numPr>
        <w:numId w:val="15"/>
      </w:numPr>
      <w:jc w:val="center"/>
      <w:outlineLvl w:val="0"/>
    </w:pPr>
    <w:rPr>
      <w:b/>
      <w:caps/>
    </w:rPr>
  </w:style>
  <w:style w:type="paragraph" w:customStyle="1" w:styleId="SchSubAshurst">
    <w:name w:val="SchSubAshurst"/>
    <w:basedOn w:val="NormalAshurst"/>
    <w:next w:val="NormalAshurst"/>
    <w:uiPriority w:val="42"/>
    <w:rsid w:val="00B12EF5"/>
    <w:pPr>
      <w:keepNext/>
      <w:jc w:val="center"/>
      <w:outlineLvl w:val="1"/>
    </w:pPr>
    <w:rPr>
      <w:b/>
    </w:rPr>
  </w:style>
  <w:style w:type="paragraph" w:customStyle="1" w:styleId="H1Ashurst">
    <w:name w:val="H1Ashurst"/>
    <w:basedOn w:val="NormalAshurst"/>
    <w:next w:val="H2Ashurst"/>
    <w:uiPriority w:val="1"/>
    <w:qFormat/>
    <w:rsid w:val="00B12EF5"/>
    <w:pPr>
      <w:keepNext/>
      <w:numPr>
        <w:numId w:val="32"/>
      </w:numPr>
      <w:outlineLvl w:val="0"/>
    </w:pPr>
    <w:rPr>
      <w:b/>
      <w:caps/>
    </w:rPr>
  </w:style>
  <w:style w:type="paragraph" w:customStyle="1" w:styleId="H2Ashurst">
    <w:name w:val="H2Ashurst"/>
    <w:basedOn w:val="NormalAshurst"/>
    <w:uiPriority w:val="1"/>
    <w:qFormat/>
    <w:rsid w:val="00B12EF5"/>
    <w:pPr>
      <w:numPr>
        <w:ilvl w:val="1"/>
        <w:numId w:val="32"/>
      </w:numPr>
      <w:outlineLvl w:val="1"/>
    </w:pPr>
  </w:style>
  <w:style w:type="paragraph" w:customStyle="1" w:styleId="H3Ashurst">
    <w:name w:val="H3Ashurst"/>
    <w:basedOn w:val="NormalAshurst"/>
    <w:link w:val="H3AshurstChar"/>
    <w:uiPriority w:val="1"/>
    <w:qFormat/>
    <w:rsid w:val="00B12EF5"/>
    <w:pPr>
      <w:numPr>
        <w:ilvl w:val="2"/>
        <w:numId w:val="32"/>
      </w:numPr>
      <w:tabs>
        <w:tab w:val="clear" w:pos="1191"/>
        <w:tab w:val="num" w:pos="1406"/>
      </w:tabs>
      <w:ind w:left="1406"/>
      <w:outlineLvl w:val="2"/>
    </w:pPr>
  </w:style>
  <w:style w:type="paragraph" w:customStyle="1" w:styleId="H4Ashurst">
    <w:name w:val="H4Ashurst"/>
    <w:basedOn w:val="NormalAshurst"/>
    <w:uiPriority w:val="1"/>
    <w:qFormat/>
    <w:rsid w:val="00B12EF5"/>
    <w:pPr>
      <w:numPr>
        <w:ilvl w:val="3"/>
        <w:numId w:val="32"/>
      </w:numPr>
      <w:outlineLvl w:val="3"/>
    </w:pPr>
  </w:style>
  <w:style w:type="paragraph" w:customStyle="1" w:styleId="H5Ashurst">
    <w:name w:val="H5Ashurst"/>
    <w:basedOn w:val="NormalAshurst"/>
    <w:uiPriority w:val="1"/>
    <w:qFormat/>
    <w:rsid w:val="00B12EF5"/>
    <w:pPr>
      <w:numPr>
        <w:ilvl w:val="4"/>
        <w:numId w:val="32"/>
      </w:numPr>
      <w:outlineLvl w:val="4"/>
    </w:pPr>
  </w:style>
  <w:style w:type="paragraph" w:customStyle="1" w:styleId="H6Ashurst">
    <w:name w:val="H6Ashurst"/>
    <w:basedOn w:val="NormalAshurst"/>
    <w:uiPriority w:val="38"/>
    <w:rsid w:val="00B12EF5"/>
    <w:pPr>
      <w:numPr>
        <w:ilvl w:val="5"/>
        <w:numId w:val="32"/>
      </w:numPr>
      <w:outlineLvl w:val="5"/>
    </w:pPr>
  </w:style>
  <w:style w:type="paragraph" w:customStyle="1" w:styleId="SH1Ashurst">
    <w:name w:val="SH1Ashurst"/>
    <w:basedOn w:val="NormalAshurst"/>
    <w:next w:val="SH2Ashurst"/>
    <w:uiPriority w:val="15"/>
    <w:rsid w:val="00B12EF5"/>
    <w:pPr>
      <w:keepNext/>
      <w:numPr>
        <w:numId w:val="16"/>
      </w:numPr>
      <w:outlineLvl w:val="0"/>
    </w:pPr>
    <w:rPr>
      <w:b/>
      <w:caps/>
    </w:rPr>
  </w:style>
  <w:style w:type="paragraph" w:customStyle="1" w:styleId="SH2Ashurst">
    <w:name w:val="SH2Ashurst"/>
    <w:basedOn w:val="NormalAshurst"/>
    <w:uiPriority w:val="15"/>
    <w:rsid w:val="00B12EF5"/>
    <w:pPr>
      <w:numPr>
        <w:ilvl w:val="1"/>
        <w:numId w:val="16"/>
      </w:numPr>
      <w:outlineLvl w:val="1"/>
    </w:pPr>
  </w:style>
  <w:style w:type="paragraph" w:customStyle="1" w:styleId="SH3Ashurst">
    <w:name w:val="SH3Ashurst"/>
    <w:basedOn w:val="NormalAshurst"/>
    <w:uiPriority w:val="15"/>
    <w:rsid w:val="00B12EF5"/>
    <w:pPr>
      <w:numPr>
        <w:ilvl w:val="2"/>
        <w:numId w:val="16"/>
      </w:numPr>
      <w:outlineLvl w:val="2"/>
    </w:pPr>
  </w:style>
  <w:style w:type="paragraph" w:customStyle="1" w:styleId="SH4Ashurst">
    <w:name w:val="SH4Ashurst"/>
    <w:basedOn w:val="NormalAshurst"/>
    <w:uiPriority w:val="15"/>
    <w:rsid w:val="00B12EF5"/>
    <w:pPr>
      <w:numPr>
        <w:ilvl w:val="3"/>
        <w:numId w:val="16"/>
      </w:numPr>
      <w:outlineLvl w:val="3"/>
    </w:pPr>
  </w:style>
  <w:style w:type="paragraph" w:customStyle="1" w:styleId="SH5Ashurst">
    <w:name w:val="SH5Ashurst"/>
    <w:basedOn w:val="NormalAshurst"/>
    <w:uiPriority w:val="44"/>
    <w:rsid w:val="00B12EF5"/>
    <w:pPr>
      <w:numPr>
        <w:ilvl w:val="4"/>
        <w:numId w:val="16"/>
      </w:numPr>
      <w:outlineLvl w:val="4"/>
    </w:pPr>
  </w:style>
  <w:style w:type="paragraph" w:customStyle="1" w:styleId="AltH1Ashurst">
    <w:name w:val="AltH1Ashurst"/>
    <w:basedOn w:val="NormalAshurst"/>
    <w:uiPriority w:val="40"/>
    <w:rsid w:val="00B12EF5"/>
    <w:pPr>
      <w:numPr>
        <w:numId w:val="31"/>
      </w:numPr>
      <w:outlineLvl w:val="0"/>
    </w:pPr>
  </w:style>
  <w:style w:type="paragraph" w:customStyle="1" w:styleId="AltH2Ashurst">
    <w:name w:val="AltH2Ashurst"/>
    <w:basedOn w:val="NormalAshurst"/>
    <w:uiPriority w:val="40"/>
    <w:rsid w:val="00B12EF5"/>
    <w:pPr>
      <w:numPr>
        <w:ilvl w:val="1"/>
        <w:numId w:val="31"/>
      </w:numPr>
      <w:outlineLvl w:val="1"/>
    </w:pPr>
  </w:style>
  <w:style w:type="paragraph" w:customStyle="1" w:styleId="AltH3Ashurst">
    <w:name w:val="AltH3Ashurst"/>
    <w:basedOn w:val="NormalAshurst"/>
    <w:uiPriority w:val="40"/>
    <w:rsid w:val="00B12EF5"/>
    <w:pPr>
      <w:numPr>
        <w:ilvl w:val="2"/>
        <w:numId w:val="31"/>
      </w:numPr>
      <w:outlineLvl w:val="2"/>
    </w:pPr>
  </w:style>
  <w:style w:type="paragraph" w:customStyle="1" w:styleId="AltH4Ashurst">
    <w:name w:val="AltH4Ashurst"/>
    <w:basedOn w:val="NormalAshurst"/>
    <w:uiPriority w:val="40"/>
    <w:rsid w:val="00B12EF5"/>
    <w:pPr>
      <w:numPr>
        <w:ilvl w:val="3"/>
        <w:numId w:val="31"/>
      </w:numPr>
      <w:outlineLvl w:val="3"/>
    </w:pPr>
  </w:style>
  <w:style w:type="paragraph" w:customStyle="1" w:styleId="AltH5Ashurst">
    <w:name w:val="AltH5Ashurst"/>
    <w:basedOn w:val="NormalAshurst"/>
    <w:uiPriority w:val="40"/>
    <w:rsid w:val="00B12EF5"/>
    <w:pPr>
      <w:numPr>
        <w:ilvl w:val="4"/>
        <w:numId w:val="31"/>
      </w:numPr>
      <w:outlineLvl w:val="4"/>
    </w:pPr>
  </w:style>
  <w:style w:type="paragraph" w:customStyle="1" w:styleId="AltH6Ashurst">
    <w:name w:val="AltH6Ashurst"/>
    <w:basedOn w:val="NormalAshurst"/>
    <w:uiPriority w:val="40"/>
    <w:rsid w:val="00B12EF5"/>
    <w:pPr>
      <w:numPr>
        <w:ilvl w:val="5"/>
        <w:numId w:val="31"/>
      </w:numPr>
      <w:outlineLvl w:val="5"/>
    </w:pPr>
  </w:style>
  <w:style w:type="paragraph" w:customStyle="1" w:styleId="AltSH1Ashurst">
    <w:name w:val="AltSH1Ashurst"/>
    <w:basedOn w:val="NormalAshurst"/>
    <w:uiPriority w:val="45"/>
    <w:rsid w:val="00B12EF5"/>
    <w:pPr>
      <w:numPr>
        <w:numId w:val="17"/>
      </w:numPr>
      <w:outlineLvl w:val="0"/>
    </w:pPr>
  </w:style>
  <w:style w:type="paragraph" w:customStyle="1" w:styleId="AltSH2Ashurst">
    <w:name w:val="AltSH2Ashurst"/>
    <w:basedOn w:val="NormalAshurst"/>
    <w:uiPriority w:val="45"/>
    <w:rsid w:val="00B12EF5"/>
    <w:pPr>
      <w:numPr>
        <w:ilvl w:val="1"/>
        <w:numId w:val="17"/>
      </w:numPr>
      <w:outlineLvl w:val="1"/>
    </w:pPr>
  </w:style>
  <w:style w:type="paragraph" w:customStyle="1" w:styleId="AltSH3Ashurst">
    <w:name w:val="AltSH3Ashurst"/>
    <w:basedOn w:val="NormalAshurst"/>
    <w:uiPriority w:val="45"/>
    <w:rsid w:val="00B12EF5"/>
    <w:pPr>
      <w:numPr>
        <w:ilvl w:val="2"/>
        <w:numId w:val="17"/>
      </w:numPr>
      <w:outlineLvl w:val="2"/>
    </w:pPr>
  </w:style>
  <w:style w:type="paragraph" w:customStyle="1" w:styleId="AltSH4Ashurst">
    <w:name w:val="AltSH4Ashurst"/>
    <w:basedOn w:val="NormalAshurst"/>
    <w:uiPriority w:val="45"/>
    <w:rsid w:val="00B12EF5"/>
    <w:pPr>
      <w:numPr>
        <w:ilvl w:val="3"/>
        <w:numId w:val="17"/>
      </w:numPr>
      <w:outlineLvl w:val="3"/>
    </w:pPr>
  </w:style>
  <w:style w:type="paragraph" w:customStyle="1" w:styleId="AltSH5Ashurst">
    <w:name w:val="AltSH5Ashurst"/>
    <w:basedOn w:val="NormalAshurst"/>
    <w:uiPriority w:val="45"/>
    <w:rsid w:val="00B12EF5"/>
    <w:pPr>
      <w:numPr>
        <w:ilvl w:val="4"/>
        <w:numId w:val="17"/>
      </w:numPr>
      <w:outlineLvl w:val="4"/>
    </w:pPr>
  </w:style>
  <w:style w:type="paragraph" w:customStyle="1" w:styleId="PartiesAshurst">
    <w:name w:val="PartiesAshurst"/>
    <w:basedOn w:val="NormalAshurst"/>
    <w:uiPriority w:val="26"/>
    <w:rsid w:val="00B12EF5"/>
    <w:pPr>
      <w:numPr>
        <w:numId w:val="18"/>
      </w:numPr>
      <w:outlineLvl w:val="0"/>
    </w:pPr>
  </w:style>
  <w:style w:type="paragraph" w:customStyle="1" w:styleId="RecitalsAshurst">
    <w:name w:val="RecitalsAshurst"/>
    <w:basedOn w:val="NormalAshurst"/>
    <w:uiPriority w:val="26"/>
    <w:rsid w:val="00B12EF5"/>
    <w:pPr>
      <w:numPr>
        <w:numId w:val="19"/>
      </w:numPr>
      <w:outlineLvl w:val="0"/>
    </w:pPr>
  </w:style>
  <w:style w:type="paragraph" w:customStyle="1" w:styleId="DefinitionsAshurst">
    <w:name w:val="DefinitionsAshurst"/>
    <w:basedOn w:val="NormalAshurst"/>
    <w:uiPriority w:val="26"/>
    <w:rsid w:val="00B12EF5"/>
    <w:pPr>
      <w:numPr>
        <w:ilvl w:val="1"/>
        <w:numId w:val="30"/>
      </w:numPr>
      <w:outlineLvl w:val="1"/>
    </w:pPr>
  </w:style>
  <w:style w:type="paragraph" w:customStyle="1" w:styleId="DefSubAshurst">
    <w:name w:val="DefSubAshurst"/>
    <w:basedOn w:val="NormalAshurst"/>
    <w:uiPriority w:val="26"/>
    <w:rsid w:val="00B12EF5"/>
    <w:pPr>
      <w:numPr>
        <w:ilvl w:val="2"/>
        <w:numId w:val="30"/>
      </w:numPr>
      <w:outlineLvl w:val="2"/>
    </w:pPr>
  </w:style>
  <w:style w:type="paragraph" w:customStyle="1" w:styleId="Bullet1Ashurst">
    <w:name w:val="Bullet1Ashurst"/>
    <w:basedOn w:val="NormalAshurst"/>
    <w:uiPriority w:val="15"/>
    <w:rsid w:val="00B12EF5"/>
    <w:pPr>
      <w:numPr>
        <w:numId w:val="20"/>
      </w:numPr>
    </w:pPr>
  </w:style>
  <w:style w:type="paragraph" w:customStyle="1" w:styleId="Bullet2Ashurst">
    <w:name w:val="Bullet2Ashurst"/>
    <w:basedOn w:val="NormalAshurst"/>
    <w:uiPriority w:val="48"/>
    <w:rsid w:val="00B12EF5"/>
    <w:pPr>
      <w:numPr>
        <w:numId w:val="21"/>
      </w:numPr>
    </w:pPr>
  </w:style>
  <w:style w:type="paragraph" w:customStyle="1" w:styleId="Bullet3Ashurst">
    <w:name w:val="Bullet3Ashurst"/>
    <w:basedOn w:val="NormalAshurst"/>
    <w:uiPriority w:val="57"/>
    <w:rsid w:val="00B12EF5"/>
    <w:pPr>
      <w:numPr>
        <w:numId w:val="22"/>
      </w:numPr>
    </w:pPr>
  </w:style>
  <w:style w:type="paragraph" w:customStyle="1" w:styleId="Bullet4Ashurst">
    <w:name w:val="Bullet4Ashurst"/>
    <w:basedOn w:val="NormalAshurst"/>
    <w:uiPriority w:val="57"/>
    <w:rsid w:val="00B12EF5"/>
    <w:pPr>
      <w:numPr>
        <w:numId w:val="23"/>
      </w:numPr>
    </w:pPr>
  </w:style>
  <w:style w:type="paragraph" w:customStyle="1" w:styleId="Bullet5Ashurst">
    <w:name w:val="Bullet5Ashurst"/>
    <w:basedOn w:val="NormalAshurst"/>
    <w:uiPriority w:val="57"/>
    <w:rsid w:val="00B12EF5"/>
    <w:pPr>
      <w:numPr>
        <w:numId w:val="24"/>
      </w:numPr>
    </w:pPr>
  </w:style>
  <w:style w:type="paragraph" w:customStyle="1" w:styleId="Bullet6Ashurst">
    <w:name w:val="Bullet6Ashurst"/>
    <w:basedOn w:val="NormalAshurst"/>
    <w:uiPriority w:val="57"/>
    <w:rsid w:val="00B12EF5"/>
    <w:pPr>
      <w:numPr>
        <w:numId w:val="25"/>
      </w:numPr>
    </w:pPr>
  </w:style>
  <w:style w:type="character" w:customStyle="1" w:styleId="NormalAshurstChar">
    <w:name w:val="NormalAshurst Char"/>
    <w:basedOn w:val="DefaultParagraphFont"/>
    <w:link w:val="NormalAshurst"/>
    <w:rsid w:val="00B12EF5"/>
  </w:style>
  <w:style w:type="paragraph" w:customStyle="1" w:styleId="FootnoteMore">
    <w:name w:val="Footnote More"/>
    <w:basedOn w:val="NormalAshurst"/>
    <w:uiPriority w:val="79"/>
    <w:rsid w:val="00B96EBF"/>
    <w:pPr>
      <w:tabs>
        <w:tab w:val="left" w:pos="782"/>
        <w:tab w:val="left" w:pos="1406"/>
        <w:tab w:val="left" w:pos="2030"/>
      </w:tabs>
      <w:spacing w:after="100" w:line="200" w:lineRule="atLeast"/>
      <w:ind w:left="782"/>
    </w:pPr>
    <w:rPr>
      <w:sz w:val="14"/>
      <w:szCs w:val="20"/>
    </w:rPr>
  </w:style>
  <w:style w:type="paragraph" w:customStyle="1" w:styleId="TableAshurst">
    <w:name w:val="TableAshurst"/>
    <w:basedOn w:val="NormalAshurst"/>
    <w:uiPriority w:val="60"/>
    <w:rsid w:val="00B12EF5"/>
    <w:pPr>
      <w:spacing w:before="110" w:after="110"/>
    </w:pPr>
  </w:style>
  <w:style w:type="paragraph" w:customStyle="1" w:styleId="APPENDIXAshurst">
    <w:name w:val="APPENDIXAshurst"/>
    <w:basedOn w:val="NormalAshurst"/>
    <w:next w:val="AppendixSubAshurst"/>
    <w:uiPriority w:val="79"/>
    <w:rsid w:val="00B12EF5"/>
    <w:pPr>
      <w:keepNext/>
      <w:numPr>
        <w:numId w:val="26"/>
      </w:numPr>
      <w:jc w:val="center"/>
      <w:outlineLvl w:val="0"/>
    </w:pPr>
    <w:rPr>
      <w:b/>
      <w:caps/>
    </w:rPr>
  </w:style>
  <w:style w:type="paragraph" w:customStyle="1" w:styleId="AppendixSubAshurst">
    <w:name w:val="AppendixSubAshurst"/>
    <w:basedOn w:val="NormalAshurst"/>
    <w:next w:val="NormalAshurst"/>
    <w:uiPriority w:val="43"/>
    <w:rsid w:val="00B12EF5"/>
    <w:pPr>
      <w:keepNext/>
      <w:jc w:val="center"/>
      <w:outlineLvl w:val="1"/>
    </w:pPr>
    <w:rPr>
      <w:b/>
    </w:rPr>
  </w:style>
  <w:style w:type="paragraph" w:customStyle="1" w:styleId="B12Ashurst">
    <w:name w:val="B1&amp;2Ashurst"/>
    <w:basedOn w:val="NormalAshurst"/>
    <w:uiPriority w:val="2"/>
    <w:qFormat/>
    <w:rsid w:val="00B12EF5"/>
    <w:pPr>
      <w:tabs>
        <w:tab w:val="left" w:pos="1406"/>
        <w:tab w:val="left" w:pos="2030"/>
        <w:tab w:val="left" w:pos="2654"/>
        <w:tab w:val="left" w:pos="3277"/>
        <w:tab w:val="left" w:pos="3901"/>
      </w:tabs>
      <w:ind w:left="782"/>
    </w:pPr>
  </w:style>
  <w:style w:type="paragraph" w:customStyle="1" w:styleId="BulletAshurst">
    <w:name w:val="BulletAshurst"/>
    <w:basedOn w:val="NormalAshurst"/>
    <w:rsid w:val="00B12EF5"/>
    <w:pPr>
      <w:numPr>
        <w:numId w:val="27"/>
      </w:numPr>
    </w:pPr>
  </w:style>
  <w:style w:type="paragraph" w:customStyle="1" w:styleId="TOCSubHeadingAshurst">
    <w:name w:val="TOCSubHeadingAshurst"/>
    <w:basedOn w:val="CBOLDCAPSAshurst"/>
    <w:next w:val="NormalAshurst"/>
    <w:uiPriority w:val="79"/>
    <w:rsid w:val="00B12EF5"/>
    <w:pPr>
      <w:tabs>
        <w:tab w:val="right" w:pos="9072"/>
      </w:tabs>
      <w:jc w:val="left"/>
      <w:outlineLvl w:val="0"/>
    </w:pPr>
  </w:style>
  <w:style w:type="character" w:customStyle="1" w:styleId="HiddenAshurst">
    <w:name w:val="HiddenAshurst"/>
    <w:uiPriority w:val="37"/>
    <w:rsid w:val="00B12EF5"/>
    <w:rPr>
      <w:rFonts w:asciiTheme="minorHAnsi" w:eastAsiaTheme="minorEastAsia" w:hAnsiTheme="minorHAnsi" w:cstheme="minorBidi"/>
      <w:vanish/>
      <w:color w:val="FF0000"/>
      <w:szCs w:val="24"/>
    </w:rPr>
  </w:style>
  <w:style w:type="paragraph" w:customStyle="1" w:styleId="StandardBoldAshurst">
    <w:name w:val="StandardBoldAshurst"/>
    <w:basedOn w:val="StandardAshurst"/>
    <w:next w:val="NormalAshurst"/>
    <w:uiPriority w:val="60"/>
    <w:rsid w:val="00B12EF5"/>
    <w:rPr>
      <w:b/>
    </w:rPr>
  </w:style>
  <w:style w:type="paragraph" w:customStyle="1" w:styleId="BN36ptBeforeAshurst">
    <w:name w:val="BN36ptBeforeAshurst"/>
    <w:basedOn w:val="NormalAshurst"/>
    <w:uiPriority w:val="61"/>
    <w:rsid w:val="00B12EF5"/>
    <w:pPr>
      <w:spacing w:before="720" w:after="0"/>
    </w:pPr>
  </w:style>
  <w:style w:type="paragraph" w:customStyle="1" w:styleId="BN45ptBeforeAshurst">
    <w:name w:val="BN45ptBeforeAshurst"/>
    <w:basedOn w:val="NormalAshurst"/>
    <w:next w:val="NormalAshurst"/>
    <w:uiPriority w:val="61"/>
    <w:rsid w:val="00B12EF5"/>
    <w:pPr>
      <w:spacing w:before="900" w:after="0"/>
    </w:pPr>
  </w:style>
  <w:style w:type="paragraph" w:customStyle="1" w:styleId="BNDocTypeAshurst">
    <w:name w:val="BNDocTypeAshurst"/>
    <w:basedOn w:val="Normal"/>
    <w:next w:val="StandardAshurst"/>
    <w:uiPriority w:val="61"/>
    <w:rsid w:val="00B12EF5"/>
    <w:pPr>
      <w:spacing w:before="1120" w:after="860"/>
      <w:jc w:val="left"/>
    </w:pPr>
    <w:rPr>
      <w:b/>
      <w:sz w:val="24"/>
      <w:szCs w:val="30"/>
    </w:rPr>
  </w:style>
  <w:style w:type="paragraph" w:customStyle="1" w:styleId="BNHealthWarningAshurst">
    <w:name w:val="BNHealthWarningAshurst"/>
    <w:basedOn w:val="NormalAshurst"/>
    <w:next w:val="StandardAshurst"/>
    <w:uiPriority w:val="61"/>
    <w:rsid w:val="00B12EF5"/>
    <w:pPr>
      <w:spacing w:after="200"/>
    </w:pPr>
    <w:rPr>
      <w:b/>
      <w:sz w:val="16"/>
      <w:szCs w:val="22"/>
    </w:rPr>
  </w:style>
  <w:style w:type="paragraph" w:customStyle="1" w:styleId="BNTable1Ashurst">
    <w:name w:val="BNTable1Ashurst"/>
    <w:basedOn w:val="TableAshurst"/>
    <w:uiPriority w:val="61"/>
    <w:rsid w:val="00B12EF5"/>
    <w:pPr>
      <w:spacing w:before="120" w:after="120"/>
    </w:pPr>
    <w:rPr>
      <w:sz w:val="14"/>
      <w:szCs w:val="20"/>
    </w:rPr>
  </w:style>
  <w:style w:type="paragraph" w:customStyle="1" w:styleId="BNTable2Ashurst">
    <w:name w:val="BNTable2Ashurst"/>
    <w:basedOn w:val="BNTable1Ashurst"/>
    <w:uiPriority w:val="61"/>
    <w:rsid w:val="00B12EF5"/>
    <w:pPr>
      <w:ind w:left="108"/>
      <w:jc w:val="left"/>
    </w:pPr>
  </w:style>
  <w:style w:type="paragraph" w:customStyle="1" w:styleId="BNTitle22Ashurst">
    <w:name w:val="BNTitle22Ashurst"/>
    <w:basedOn w:val="NormalAshurst"/>
    <w:uiPriority w:val="61"/>
    <w:rsid w:val="00B12EF5"/>
    <w:pPr>
      <w:spacing w:after="0"/>
      <w:jc w:val="left"/>
    </w:pPr>
    <w:rPr>
      <w:sz w:val="44"/>
      <w:szCs w:val="50"/>
    </w:rPr>
  </w:style>
  <w:style w:type="paragraph" w:customStyle="1" w:styleId="CSSubTitleAshurst">
    <w:name w:val="CSSubTitleAshurst"/>
    <w:basedOn w:val="NormalAshurst"/>
    <w:next w:val="NormalAshurst"/>
    <w:uiPriority w:val="61"/>
    <w:rsid w:val="00B12EF5"/>
    <w:pPr>
      <w:keepNext/>
      <w:jc w:val="left"/>
    </w:pPr>
    <w:rPr>
      <w:sz w:val="32"/>
      <w:szCs w:val="38"/>
    </w:rPr>
  </w:style>
  <w:style w:type="paragraph" w:customStyle="1" w:styleId="CSTitleAshurst">
    <w:name w:val="CSTitleAshurst"/>
    <w:basedOn w:val="NormalAshurst"/>
    <w:next w:val="NormalAshurst"/>
    <w:uiPriority w:val="61"/>
    <w:rsid w:val="00B12EF5"/>
    <w:pPr>
      <w:spacing w:before="1240" w:after="840"/>
      <w:jc w:val="left"/>
    </w:pPr>
    <w:rPr>
      <w:sz w:val="42"/>
      <w:szCs w:val="48"/>
    </w:rPr>
  </w:style>
  <w:style w:type="paragraph" w:customStyle="1" w:styleId="CSTxtAshurst">
    <w:name w:val="CSTxtAshurst"/>
    <w:basedOn w:val="NormalAshurst"/>
    <w:next w:val="NormalAshurst"/>
    <w:uiPriority w:val="61"/>
    <w:rsid w:val="00B12EF5"/>
    <w:pPr>
      <w:jc w:val="left"/>
    </w:pPr>
    <w:rPr>
      <w:sz w:val="24"/>
      <w:szCs w:val="30"/>
    </w:rPr>
  </w:style>
  <w:style w:type="paragraph" w:customStyle="1" w:styleId="MACompaniesAshurst">
    <w:name w:val="M&amp;ACompaniesAshurst"/>
    <w:basedOn w:val="CSTxtAshurst"/>
    <w:uiPriority w:val="61"/>
    <w:rsid w:val="00B12EF5"/>
    <w:pPr>
      <w:spacing w:before="1320" w:after="0"/>
    </w:pPr>
  </w:style>
  <w:style w:type="paragraph" w:customStyle="1" w:styleId="MATitle22Ashurst">
    <w:name w:val="M&amp;ATitle22Ashurst"/>
    <w:basedOn w:val="BNTitle22Ashurst"/>
    <w:uiPriority w:val="61"/>
    <w:rsid w:val="00B12EF5"/>
    <w:pPr>
      <w:spacing w:before="480" w:after="400"/>
    </w:pPr>
  </w:style>
  <w:style w:type="paragraph" w:customStyle="1" w:styleId="ParticularsTableAshurst">
    <w:name w:val="ParticularsTableAshurst"/>
    <w:basedOn w:val="TableAshurst"/>
    <w:uiPriority w:val="61"/>
    <w:rsid w:val="00B12EF5"/>
    <w:pPr>
      <w:jc w:val="left"/>
    </w:pPr>
  </w:style>
  <w:style w:type="paragraph" w:customStyle="1" w:styleId="SDBoldItalicsAshurst">
    <w:name w:val="SDBoldItalicsAshurst"/>
    <w:basedOn w:val="B12Ashurst"/>
    <w:uiPriority w:val="61"/>
    <w:rsid w:val="00B12EF5"/>
    <w:rPr>
      <w:b/>
      <w:i/>
    </w:rPr>
  </w:style>
  <w:style w:type="paragraph" w:customStyle="1" w:styleId="SDDocTypeAshurst">
    <w:name w:val="SDDocTypeAshurst"/>
    <w:basedOn w:val="BNDocTypeAshurst"/>
    <w:next w:val="StandardAshurst"/>
    <w:uiPriority w:val="61"/>
    <w:rsid w:val="00B12EF5"/>
  </w:style>
  <w:style w:type="paragraph" w:customStyle="1" w:styleId="SDTitle22Ashurst">
    <w:name w:val="SDTitle22Ashurst"/>
    <w:basedOn w:val="BNTitle22Ashurst"/>
    <w:next w:val="StandardAshurst"/>
    <w:uiPriority w:val="61"/>
    <w:rsid w:val="00B12EF5"/>
    <w:rPr>
      <w:b/>
    </w:rPr>
  </w:style>
  <w:style w:type="paragraph" w:customStyle="1" w:styleId="BN20ptBeforeAshurst">
    <w:name w:val="BN20ptBeforeAshurst"/>
    <w:basedOn w:val="NormalAshurst"/>
    <w:next w:val="NormalAshurst"/>
    <w:uiPriority w:val="61"/>
    <w:rsid w:val="00B12EF5"/>
    <w:pPr>
      <w:spacing w:before="400" w:after="0"/>
    </w:pPr>
  </w:style>
  <w:style w:type="paragraph" w:customStyle="1" w:styleId="NormalBoldAshurst">
    <w:name w:val="NormalBoldAshurst"/>
    <w:basedOn w:val="NormalAshurst"/>
    <w:next w:val="NormalAshurst"/>
    <w:uiPriority w:val="79"/>
    <w:rsid w:val="00B12EF5"/>
    <w:rPr>
      <w:b/>
    </w:rPr>
  </w:style>
  <w:style w:type="paragraph" w:customStyle="1" w:styleId="TableNum1Ashurst">
    <w:name w:val="TableNum1Ashurst"/>
    <w:basedOn w:val="TableAshurst"/>
    <w:uiPriority w:val="58"/>
    <w:rsid w:val="00B12EF5"/>
    <w:pPr>
      <w:numPr>
        <w:numId w:val="29"/>
      </w:numPr>
      <w:outlineLvl w:val="0"/>
    </w:pPr>
  </w:style>
  <w:style w:type="paragraph" w:customStyle="1" w:styleId="AltRecitalsAshurst">
    <w:name w:val="AltRecitalsAshurst"/>
    <w:basedOn w:val="RecitalsAshurst"/>
    <w:rsid w:val="00B12EF5"/>
    <w:pPr>
      <w:numPr>
        <w:numId w:val="28"/>
      </w:numPr>
    </w:pPr>
  </w:style>
  <w:style w:type="paragraph" w:customStyle="1" w:styleId="LBItalicsAshurst">
    <w:name w:val="LBItalicsAshurst"/>
    <w:basedOn w:val="NormalAshurst"/>
    <w:next w:val="NormalAshurst"/>
    <w:uiPriority w:val="60"/>
    <w:rsid w:val="00B12EF5"/>
    <w:pPr>
      <w:keepNext/>
    </w:pPr>
    <w:rPr>
      <w:b/>
      <w:i/>
    </w:rPr>
  </w:style>
  <w:style w:type="paragraph" w:customStyle="1" w:styleId="TableNum2Ashurst">
    <w:name w:val="TableNum2Ashurst"/>
    <w:basedOn w:val="TableAshurst"/>
    <w:uiPriority w:val="58"/>
    <w:rsid w:val="00B12EF5"/>
    <w:pPr>
      <w:numPr>
        <w:ilvl w:val="1"/>
        <w:numId w:val="29"/>
      </w:numPr>
      <w:outlineLvl w:val="1"/>
    </w:pPr>
  </w:style>
  <w:style w:type="paragraph" w:customStyle="1" w:styleId="TableNum3Ashurst">
    <w:name w:val="TableNum3Ashurst"/>
    <w:basedOn w:val="TableAshurst"/>
    <w:uiPriority w:val="58"/>
    <w:rsid w:val="00B12EF5"/>
    <w:pPr>
      <w:numPr>
        <w:ilvl w:val="2"/>
        <w:numId w:val="29"/>
      </w:numPr>
    </w:pPr>
  </w:style>
  <w:style w:type="paragraph" w:customStyle="1" w:styleId="TableNum4Ashurst">
    <w:name w:val="TableNum4Ashurst"/>
    <w:basedOn w:val="TableAshurst"/>
    <w:uiPriority w:val="58"/>
    <w:rsid w:val="00B12EF5"/>
    <w:pPr>
      <w:numPr>
        <w:ilvl w:val="3"/>
        <w:numId w:val="29"/>
      </w:numPr>
    </w:pPr>
  </w:style>
  <w:style w:type="paragraph" w:customStyle="1" w:styleId="TableNum5Ashurst">
    <w:name w:val="TableNum5Ashurst"/>
    <w:basedOn w:val="TableAshurst"/>
    <w:uiPriority w:val="58"/>
    <w:rsid w:val="00B12EF5"/>
    <w:pPr>
      <w:numPr>
        <w:ilvl w:val="4"/>
        <w:numId w:val="29"/>
      </w:numPr>
    </w:pPr>
  </w:style>
  <w:style w:type="paragraph" w:customStyle="1" w:styleId="TableNum6Ashurst">
    <w:name w:val="TableNum6Ashurst"/>
    <w:basedOn w:val="TableAshurst"/>
    <w:uiPriority w:val="58"/>
    <w:rsid w:val="00B12EF5"/>
    <w:pPr>
      <w:numPr>
        <w:ilvl w:val="5"/>
        <w:numId w:val="29"/>
      </w:numPr>
    </w:pPr>
  </w:style>
  <w:style w:type="paragraph" w:customStyle="1" w:styleId="DefinitionsClauseAshurst">
    <w:name w:val="DefinitionsClauseAshurst"/>
    <w:basedOn w:val="NormalAshurst"/>
    <w:uiPriority w:val="26"/>
    <w:rsid w:val="00B12EF5"/>
    <w:pPr>
      <w:numPr>
        <w:numId w:val="30"/>
      </w:numPr>
      <w:outlineLvl w:val="0"/>
    </w:pPr>
    <w:rPr>
      <w:lang w:eastAsia="en-GB"/>
    </w:rPr>
  </w:style>
  <w:style w:type="paragraph" w:customStyle="1" w:styleId="AltH7Ashurst">
    <w:name w:val="AltH7Ashurst"/>
    <w:basedOn w:val="NormalAshurst"/>
    <w:uiPriority w:val="40"/>
    <w:rsid w:val="00B12EF5"/>
    <w:pPr>
      <w:numPr>
        <w:ilvl w:val="6"/>
        <w:numId w:val="31"/>
      </w:numPr>
      <w:outlineLvl w:val="6"/>
    </w:pPr>
  </w:style>
  <w:style w:type="paragraph" w:customStyle="1" w:styleId="AltH8Ashurst">
    <w:name w:val="AltH8Ashurst"/>
    <w:basedOn w:val="NormalAshurst"/>
    <w:uiPriority w:val="40"/>
    <w:rsid w:val="00B12EF5"/>
    <w:pPr>
      <w:numPr>
        <w:ilvl w:val="7"/>
        <w:numId w:val="31"/>
      </w:numPr>
      <w:outlineLvl w:val="7"/>
    </w:pPr>
  </w:style>
  <w:style w:type="paragraph" w:customStyle="1" w:styleId="H7Ashurst">
    <w:name w:val="H7Ashurst"/>
    <w:basedOn w:val="NormalAshurst"/>
    <w:uiPriority w:val="38"/>
    <w:rsid w:val="00B12EF5"/>
    <w:pPr>
      <w:numPr>
        <w:ilvl w:val="6"/>
        <w:numId w:val="32"/>
      </w:numPr>
      <w:outlineLvl w:val="6"/>
    </w:pPr>
  </w:style>
  <w:style w:type="paragraph" w:customStyle="1" w:styleId="H8Ashurst">
    <w:name w:val="H8Ashurst"/>
    <w:basedOn w:val="NormalAshurst"/>
    <w:uiPriority w:val="38"/>
    <w:rsid w:val="00B12EF5"/>
    <w:pPr>
      <w:numPr>
        <w:ilvl w:val="7"/>
        <w:numId w:val="32"/>
      </w:numPr>
      <w:outlineLvl w:val="7"/>
    </w:pPr>
  </w:style>
  <w:style w:type="paragraph" w:customStyle="1" w:styleId="B7Ashurst">
    <w:name w:val="B7Ashurst"/>
    <w:basedOn w:val="NormalAshurst"/>
    <w:uiPriority w:val="56"/>
    <w:rsid w:val="00B12EF5"/>
    <w:pPr>
      <w:tabs>
        <w:tab w:val="left" w:pos="4525"/>
      </w:tabs>
      <w:ind w:left="3901"/>
    </w:pPr>
  </w:style>
  <w:style w:type="paragraph" w:customStyle="1" w:styleId="B8Ashurst">
    <w:name w:val="B8Ashurst"/>
    <w:basedOn w:val="NormalAshurst"/>
    <w:uiPriority w:val="56"/>
    <w:rsid w:val="00B12EF5"/>
    <w:pPr>
      <w:tabs>
        <w:tab w:val="left" w:pos="5148"/>
      </w:tabs>
      <w:ind w:left="4525"/>
    </w:pPr>
  </w:style>
  <w:style w:type="paragraph" w:styleId="BodyText">
    <w:name w:val="Body Text"/>
    <w:basedOn w:val="Normal"/>
    <w:link w:val="BodyTextChar"/>
    <w:uiPriority w:val="98"/>
    <w:semiHidden/>
    <w:rsid w:val="00B12EF5"/>
    <w:pPr>
      <w:spacing w:after="120"/>
    </w:pPr>
  </w:style>
  <w:style w:type="character" w:customStyle="1" w:styleId="BodyTextChar">
    <w:name w:val="Body Text Char"/>
    <w:basedOn w:val="DefaultParagraphFont"/>
    <w:link w:val="BodyText"/>
    <w:uiPriority w:val="98"/>
    <w:semiHidden/>
    <w:rsid w:val="00B12EF5"/>
    <w:rPr>
      <w:rFonts w:asciiTheme="minorHAnsi" w:eastAsiaTheme="minorEastAsia" w:hAnsiTheme="minorHAnsi" w:cstheme="minorBidi"/>
      <w:szCs w:val="24"/>
    </w:rPr>
  </w:style>
  <w:style w:type="character" w:styleId="FootnoteReference">
    <w:name w:val="footnote reference"/>
    <w:basedOn w:val="DefaultParagraphFont"/>
    <w:uiPriority w:val="98"/>
    <w:rsid w:val="00B12EF5"/>
    <w:rPr>
      <w:rFonts w:asciiTheme="minorHAnsi" w:eastAsiaTheme="minorEastAsia" w:hAnsiTheme="minorHAnsi" w:cstheme="minorBidi"/>
      <w:sz w:val="14"/>
      <w:szCs w:val="20"/>
      <w:vertAlign w:val="superscript"/>
    </w:rPr>
  </w:style>
  <w:style w:type="paragraph" w:styleId="FootnoteText">
    <w:name w:val="footnote text"/>
    <w:basedOn w:val="NormalAshurst"/>
    <w:next w:val="FootnoteMore"/>
    <w:link w:val="FootnoteTextChar"/>
    <w:uiPriority w:val="98"/>
    <w:rsid w:val="00B96EBF"/>
    <w:pPr>
      <w:tabs>
        <w:tab w:val="left" w:pos="782"/>
        <w:tab w:val="left" w:pos="1406"/>
        <w:tab w:val="left" w:pos="2030"/>
      </w:tabs>
      <w:spacing w:after="100" w:line="200" w:lineRule="atLeast"/>
      <w:ind w:left="782" w:hanging="782"/>
    </w:pPr>
    <w:rPr>
      <w:sz w:val="14"/>
      <w:szCs w:val="20"/>
      <w:lang w:eastAsia="zh-CN"/>
    </w:rPr>
  </w:style>
  <w:style w:type="character" w:customStyle="1" w:styleId="FootnoteTextChar">
    <w:name w:val="Footnote Text Char"/>
    <w:basedOn w:val="DefaultParagraphFont"/>
    <w:link w:val="FootnoteText"/>
    <w:uiPriority w:val="98"/>
    <w:rsid w:val="00B96EBF"/>
    <w:rPr>
      <w:rFonts w:asciiTheme="minorHAnsi" w:eastAsiaTheme="minorEastAsia" w:hAnsiTheme="minorHAnsi" w:cstheme="minorBidi"/>
      <w:sz w:val="14"/>
      <w:szCs w:val="20"/>
      <w:lang w:eastAsia="zh-CN"/>
    </w:rPr>
  </w:style>
  <w:style w:type="numbering" w:styleId="111111">
    <w:name w:val="Outline List 2"/>
    <w:basedOn w:val="NoList"/>
    <w:uiPriority w:val="98"/>
    <w:semiHidden/>
    <w:rsid w:val="00B12EF5"/>
    <w:pPr>
      <w:numPr>
        <w:numId w:val="13"/>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4"/>
      </w:numPr>
    </w:pPr>
  </w:style>
  <w:style w:type="paragraph" w:styleId="BalloonText">
    <w:name w:val="Balloon Text"/>
    <w:basedOn w:val="Normal"/>
    <w:link w:val="BalloonTextChar"/>
    <w:uiPriority w:val="98"/>
    <w:semiHidden/>
    <w:rsid w:val="00B12EF5"/>
    <w:pPr>
      <w:spacing w:line="240" w:lineRule="auto"/>
    </w:pPr>
    <w:rPr>
      <w:sz w:val="16"/>
      <w:szCs w:val="22"/>
    </w:rPr>
  </w:style>
  <w:style w:type="character" w:customStyle="1" w:styleId="BalloonTextChar">
    <w:name w:val="Balloon Text Char"/>
    <w:basedOn w:val="DefaultParagraphFont"/>
    <w:link w:val="BalloonText"/>
    <w:uiPriority w:val="98"/>
    <w:semiHidden/>
    <w:rsid w:val="00B12EF5"/>
    <w:rPr>
      <w:rFonts w:asciiTheme="minorHAnsi" w:eastAsiaTheme="minorEastAsia" w:hAnsiTheme="minorHAnsi" w:cstheme="minorBidi"/>
      <w:sz w:val="16"/>
      <w:szCs w:val="22"/>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sz="2" w:space="10" w:color="DDDDDD" w:themeColor="accent1" w:frame="1"/>
        <w:left w:val="single" w:sz="2" w:space="10" w:color="DDDDDD" w:themeColor="accent1" w:frame="1"/>
        <w:bottom w:val="single" w:sz="2" w:space="10" w:color="DDDDDD" w:themeColor="accent1" w:frame="1"/>
        <w:right w:val="single" w:sz="2" w:space="10" w:color="DDDDDD" w:themeColor="accent1" w:frame="1"/>
      </w:pBdr>
      <w:ind w:left="1152" w:right="1152"/>
    </w:pPr>
    <w:rPr>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customStyle="1" w:styleId="BodyText2Char">
    <w:name w:val="Body Text 2 Char"/>
    <w:basedOn w:val="DefaultParagraphFont"/>
    <w:link w:val="BodyText2"/>
    <w:uiPriority w:val="98"/>
    <w:semiHidden/>
    <w:rsid w:val="00B12EF5"/>
    <w:rPr>
      <w:rFonts w:asciiTheme="minorHAnsi" w:eastAsiaTheme="minorEastAsia" w:hAnsiTheme="minorHAnsi" w:cstheme="minorBidi"/>
      <w:szCs w:val="24"/>
    </w:rPr>
  </w:style>
  <w:style w:type="paragraph" w:styleId="BodyText3">
    <w:name w:val="Body Text 3"/>
    <w:basedOn w:val="Normal"/>
    <w:link w:val="BodyText3Char"/>
    <w:uiPriority w:val="98"/>
    <w:semiHidden/>
    <w:rsid w:val="00B12EF5"/>
    <w:pPr>
      <w:spacing w:after="120"/>
    </w:pPr>
    <w:rPr>
      <w:sz w:val="16"/>
      <w:szCs w:val="22"/>
    </w:rPr>
  </w:style>
  <w:style w:type="character" w:customStyle="1" w:styleId="BodyText3Char">
    <w:name w:val="Body Text 3 Char"/>
    <w:basedOn w:val="DefaultParagraphFont"/>
    <w:link w:val="BodyText3"/>
    <w:uiPriority w:val="98"/>
    <w:semiHidden/>
    <w:rsid w:val="00B12EF5"/>
    <w:rPr>
      <w:rFonts w:asciiTheme="minorHAnsi" w:eastAsiaTheme="minorEastAsia" w:hAnsiTheme="minorHAnsi" w:cstheme="minorBidi"/>
      <w:sz w:val="16"/>
      <w:szCs w:val="22"/>
    </w:rPr>
  </w:style>
  <w:style w:type="paragraph" w:styleId="BodyTextFirstIndent">
    <w:name w:val="Body Text First Indent"/>
    <w:basedOn w:val="BodyText"/>
    <w:link w:val="BodyTextFirstIndentChar"/>
    <w:uiPriority w:val="98"/>
    <w:semiHidden/>
    <w:rsid w:val="00B12EF5"/>
    <w:pPr>
      <w:spacing w:after="0"/>
      <w:ind w:firstLine="360"/>
    </w:pPr>
  </w:style>
  <w:style w:type="character" w:customStyle="1" w:styleId="BodyTextFirstIndentChar">
    <w:name w:val="Body Text First Indent Char"/>
    <w:basedOn w:val="BodyTextChar"/>
    <w:link w:val="BodyTextFirstIndent"/>
    <w:uiPriority w:val="98"/>
    <w:semiHidden/>
    <w:rsid w:val="00B12EF5"/>
    <w:rPr>
      <w:rFonts w:asciiTheme="minorHAnsi" w:eastAsiaTheme="minorEastAsia" w:hAnsiTheme="minorHAnsi" w:cstheme="minorBidi"/>
      <w:szCs w:val="24"/>
    </w:rPr>
  </w:style>
  <w:style w:type="paragraph" w:styleId="BodyTextIndent">
    <w:name w:val="Body Text Indent"/>
    <w:basedOn w:val="Normal"/>
    <w:link w:val="BodyTextIndentChar"/>
    <w:uiPriority w:val="98"/>
    <w:semiHidden/>
    <w:rsid w:val="00B12EF5"/>
    <w:pPr>
      <w:spacing w:after="120"/>
      <w:ind w:left="283"/>
    </w:pPr>
  </w:style>
  <w:style w:type="character" w:customStyle="1" w:styleId="BodyTextIndentChar">
    <w:name w:val="Body Text Indent Char"/>
    <w:basedOn w:val="DefaultParagraphFont"/>
    <w:link w:val="BodyTextIndent"/>
    <w:uiPriority w:val="98"/>
    <w:semiHidden/>
    <w:rsid w:val="00B12EF5"/>
    <w:rPr>
      <w:rFonts w:asciiTheme="minorHAnsi" w:eastAsiaTheme="minorEastAsia" w:hAnsiTheme="minorHAnsi" w:cstheme="minorBidi"/>
      <w:szCs w:val="24"/>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customStyle="1" w:styleId="BodyTextFirstIndent2Char">
    <w:name w:val="Body Text First Indent 2 Char"/>
    <w:basedOn w:val="BodyTextIndentChar"/>
    <w:link w:val="BodyTextFirstIndent2"/>
    <w:uiPriority w:val="98"/>
    <w:semiHidden/>
    <w:rsid w:val="00B12EF5"/>
    <w:rPr>
      <w:rFonts w:asciiTheme="minorHAnsi" w:eastAsiaTheme="minorEastAsia" w:hAnsiTheme="minorHAnsi" w:cstheme="minorBidi"/>
      <w:szCs w:val="24"/>
    </w:rPr>
  </w:style>
  <w:style w:type="paragraph" w:styleId="BodyTextIndent2">
    <w:name w:val="Body Text Indent 2"/>
    <w:basedOn w:val="Normal"/>
    <w:link w:val="BodyTextIndent2Char"/>
    <w:uiPriority w:val="98"/>
    <w:semiHidden/>
    <w:rsid w:val="00B12EF5"/>
    <w:pPr>
      <w:spacing w:after="120" w:line="480" w:lineRule="auto"/>
      <w:ind w:left="283"/>
    </w:pPr>
  </w:style>
  <w:style w:type="character" w:customStyle="1" w:styleId="BodyTextIndent2Char">
    <w:name w:val="Body Text Indent 2 Char"/>
    <w:basedOn w:val="DefaultParagraphFont"/>
    <w:link w:val="BodyTextIndent2"/>
    <w:uiPriority w:val="98"/>
    <w:semiHidden/>
    <w:rsid w:val="00B12EF5"/>
    <w:rPr>
      <w:rFonts w:asciiTheme="minorHAnsi" w:eastAsiaTheme="minorEastAsia" w:hAnsiTheme="minorHAnsi" w:cstheme="minorBidi"/>
      <w:szCs w:val="24"/>
    </w:rPr>
  </w:style>
  <w:style w:type="paragraph" w:styleId="BodyTextIndent3">
    <w:name w:val="Body Text Indent 3"/>
    <w:basedOn w:val="Normal"/>
    <w:link w:val="BodyTextIndent3Char"/>
    <w:uiPriority w:val="98"/>
    <w:semiHidden/>
    <w:rsid w:val="00B12EF5"/>
    <w:pPr>
      <w:spacing w:after="120"/>
      <w:ind w:left="283"/>
    </w:pPr>
    <w:rPr>
      <w:sz w:val="16"/>
      <w:szCs w:val="22"/>
    </w:rPr>
  </w:style>
  <w:style w:type="character" w:customStyle="1" w:styleId="BodyTextIndent3Char">
    <w:name w:val="Body Text Indent 3 Char"/>
    <w:basedOn w:val="DefaultParagraphFont"/>
    <w:link w:val="BodyTextIndent3"/>
    <w:uiPriority w:val="98"/>
    <w:semiHidden/>
    <w:rsid w:val="00B12EF5"/>
    <w:rPr>
      <w:rFonts w:asciiTheme="minorHAnsi" w:eastAsiaTheme="minorEastAsia" w:hAnsiTheme="minorHAnsi" w:cstheme="minorBidi"/>
      <w:sz w:val="16"/>
      <w:szCs w:val="22"/>
    </w:rPr>
  </w:style>
  <w:style w:type="character" w:styleId="BookTitle">
    <w:name w:val="Book Title"/>
    <w:basedOn w:val="DefaultParagraphFont"/>
    <w:uiPriority w:val="98"/>
    <w:semiHidden/>
    <w:rsid w:val="00B12EF5"/>
    <w:rPr>
      <w:rFonts w:asciiTheme="minorHAnsi" w:eastAsiaTheme="minorEastAsia" w:hAnsiTheme="minorHAnsi" w:cstheme="minorBidi"/>
      <w:b/>
      <w:bCs/>
      <w:smallCaps/>
      <w:spacing w:val="5"/>
      <w:szCs w:val="24"/>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B12EF5"/>
    <w:rPr>
      <w:rFonts w:asciiTheme="minorHAnsi" w:eastAsiaTheme="minorEastAsia" w:hAnsiTheme="minorHAnsi" w:cstheme="minorBidi"/>
      <w:szCs w:val="24"/>
    </w:rPr>
  </w:style>
  <w:style w:type="table" w:styleId="ColorfulGrid">
    <w:name w:val="Colorful Grid"/>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semiHidden/>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98"/>
    <w:semiHidden/>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semiHidden/>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semiHidden/>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semiHidden/>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semiHidden/>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semiHidden/>
    <w:rsid w:val="00B12EF5"/>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semiHidden/>
    <w:rsid w:val="00B12EF5"/>
    <w:pPr>
      <w:spacing w:line="240" w:lineRule="auto"/>
    </w:pPr>
    <w:rPr>
      <w:sz w:val="20"/>
      <w:szCs w:val="26"/>
    </w:rPr>
  </w:style>
  <w:style w:type="character" w:customStyle="1" w:styleId="CommentTextChar">
    <w:name w:val="Comment Text Char"/>
    <w:basedOn w:val="DefaultParagraphFont"/>
    <w:link w:val="CommentText"/>
    <w:uiPriority w:val="98"/>
    <w:semiHidden/>
    <w:rsid w:val="00B12EF5"/>
    <w:rPr>
      <w:rFonts w:asciiTheme="minorHAnsi" w:eastAsiaTheme="minorEastAsia" w:hAnsiTheme="minorHAnsi" w:cstheme="minorBidi"/>
      <w:sz w:val="20"/>
      <w:szCs w:val="26"/>
    </w:rPr>
  </w:style>
  <w:style w:type="paragraph" w:styleId="CommentSubject">
    <w:name w:val="annotation subject"/>
    <w:basedOn w:val="CommentText"/>
    <w:next w:val="CommentText"/>
    <w:link w:val="CommentSubjectChar"/>
    <w:uiPriority w:val="98"/>
    <w:semiHidden/>
    <w:rsid w:val="00B12EF5"/>
    <w:rPr>
      <w:b/>
      <w:bCs/>
    </w:rPr>
  </w:style>
  <w:style w:type="character" w:customStyle="1" w:styleId="CommentSubjectChar">
    <w:name w:val="Comment Subject Char"/>
    <w:basedOn w:val="CommentTextChar"/>
    <w:link w:val="CommentSubject"/>
    <w:uiPriority w:val="98"/>
    <w:semiHidden/>
    <w:rsid w:val="00B12EF5"/>
    <w:rPr>
      <w:rFonts w:asciiTheme="minorHAnsi" w:eastAsiaTheme="minorEastAsia" w:hAnsiTheme="minorHAnsi" w:cstheme="minorBidi"/>
      <w:b/>
      <w:bCs/>
      <w:sz w:val="20"/>
      <w:szCs w:val="26"/>
    </w:rPr>
  </w:style>
  <w:style w:type="table" w:styleId="DarkList">
    <w:name w:val="Dark List"/>
    <w:basedOn w:val="TableNormal"/>
    <w:uiPriority w:val="98"/>
    <w:semiHidden/>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semiHidden/>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semiHidden/>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semiHidden/>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semiHidden/>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semiHidden/>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B12EF5"/>
    <w:rPr>
      <w:rFonts w:asciiTheme="minorHAnsi" w:eastAsiaTheme="minorEastAsia" w:hAnsiTheme="minorHAnsi" w:cstheme="minorBidi"/>
      <w:szCs w:val="24"/>
    </w:rPr>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B12EF5"/>
    <w:rPr>
      <w:rFonts w:asciiTheme="minorHAnsi" w:eastAsiaTheme="minorEastAsia" w:hAnsiTheme="minorHAnsi" w:cstheme="minorBidi"/>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B12EF5"/>
    <w:rPr>
      <w:rFonts w:asciiTheme="minorHAnsi" w:eastAsiaTheme="minorEastAsia" w:hAnsiTheme="minorHAnsi" w:cstheme="minorBidi"/>
      <w:szCs w:val="24"/>
    </w:rPr>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98"/>
    <w:rsid w:val="00B12EF5"/>
    <w:rPr>
      <w:rFonts w:asciiTheme="minorHAnsi" w:eastAsiaTheme="minorEastAsia" w:hAnsiTheme="minorHAnsi" w:cstheme="minorBidi"/>
      <w:sz w:val="14"/>
      <w:szCs w:val="20"/>
      <w:vertAlign w:val="superscript"/>
    </w:rPr>
  </w:style>
  <w:style w:type="paragraph" w:styleId="EndnoteText">
    <w:name w:val="endnote text"/>
    <w:basedOn w:val="FootnoteText"/>
    <w:link w:val="EndnoteTextChar"/>
    <w:uiPriority w:val="98"/>
    <w:rsid w:val="00B96EBF"/>
  </w:style>
  <w:style w:type="character" w:customStyle="1" w:styleId="EndnoteTextChar">
    <w:name w:val="Endnote Text Char"/>
    <w:basedOn w:val="DefaultParagraphFont"/>
    <w:link w:val="EndnoteText"/>
    <w:uiPriority w:val="98"/>
    <w:rsid w:val="00B96EBF"/>
    <w:rPr>
      <w:rFonts w:asciiTheme="minorHAnsi" w:eastAsiaTheme="minorEastAsia" w:hAnsiTheme="minorHAnsi" w:cstheme="minorBidi"/>
      <w:sz w:val="14"/>
      <w:szCs w:val="20"/>
      <w:lang w:eastAsia="zh-CN"/>
    </w:rPr>
  </w:style>
  <w:style w:type="paragraph" w:styleId="EnvelopeAddress">
    <w:name w:val="envelope address"/>
    <w:basedOn w:val="NormalAshurst"/>
    <w:uiPriority w:val="98"/>
    <w:semiHidden/>
    <w:rsid w:val="00881C1F"/>
    <w:pPr>
      <w:framePr w:w="7920" w:h="1980" w:hRule="exact" w:hSpace="180" w:wrap="auto" w:hAnchor="page" w:xAlign="center" w:yAlign="bottom"/>
      <w:spacing w:after="0"/>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8"/>
    <w:semiHidden/>
    <w:rsid w:val="00B12EF5"/>
    <w:rPr>
      <w:rFonts w:asciiTheme="minorHAnsi" w:eastAsiaTheme="minorEastAsia" w:hAnsiTheme="minorHAnsi" w:cstheme="minorBidi"/>
      <w:color w:val="919191" w:themeColor="followedHyperlink"/>
      <w:szCs w:val="24"/>
      <w:u w:val="single"/>
    </w:rPr>
  </w:style>
  <w:style w:type="paragraph" w:styleId="Footer">
    <w:name w:val="footer"/>
    <w:basedOn w:val="Normal"/>
    <w:link w:val="FooterChar"/>
    <w:uiPriority w:val="98"/>
    <w:rsid w:val="00DB2040"/>
    <w:pPr>
      <w:tabs>
        <w:tab w:val="center" w:pos="4513"/>
        <w:tab w:val="right" w:pos="9026"/>
      </w:tabs>
    </w:pPr>
    <w:rPr>
      <w:sz w:val="14"/>
      <w:szCs w:val="20"/>
    </w:rPr>
  </w:style>
  <w:style w:type="character" w:customStyle="1" w:styleId="FooterChar">
    <w:name w:val="Footer Char"/>
    <w:basedOn w:val="DefaultParagraphFont"/>
    <w:link w:val="Footer"/>
    <w:uiPriority w:val="98"/>
    <w:rsid w:val="00DB2040"/>
    <w:rPr>
      <w:sz w:val="14"/>
      <w:szCs w:val="20"/>
    </w:rPr>
  </w:style>
  <w:style w:type="paragraph" w:styleId="Header">
    <w:name w:val="header"/>
    <w:basedOn w:val="Normal"/>
    <w:link w:val="HeaderChar"/>
    <w:rsid w:val="00B12EF5"/>
    <w:pPr>
      <w:tabs>
        <w:tab w:val="center" w:pos="4513"/>
        <w:tab w:val="right" w:pos="9026"/>
      </w:tabs>
      <w:spacing w:line="240" w:lineRule="auto"/>
    </w:pPr>
  </w:style>
  <w:style w:type="character" w:customStyle="1" w:styleId="HeaderChar">
    <w:name w:val="Header Char"/>
    <w:basedOn w:val="DefaultParagraphFont"/>
    <w:link w:val="Header"/>
    <w:rsid w:val="00B12EF5"/>
    <w:rPr>
      <w:rFonts w:asciiTheme="minorHAnsi" w:eastAsiaTheme="minorEastAsia" w:hAnsiTheme="minorHAnsi" w:cstheme="minorBidi"/>
      <w:szCs w:val="24"/>
    </w:rPr>
  </w:style>
  <w:style w:type="character" w:styleId="HTMLAcronym">
    <w:name w:val="HTML Acronym"/>
    <w:basedOn w:val="DefaultParagraphFont"/>
    <w:uiPriority w:val="98"/>
    <w:semiHidden/>
    <w:rsid w:val="00B12EF5"/>
    <w:rPr>
      <w:rFonts w:asciiTheme="minorHAnsi" w:eastAsiaTheme="minorEastAsia" w:hAnsiTheme="minorHAnsi" w:cstheme="minorBidi"/>
      <w:szCs w:val="24"/>
    </w:rPr>
  </w:style>
  <w:style w:type="paragraph" w:styleId="HTMLAddress">
    <w:name w:val="HTML Address"/>
    <w:basedOn w:val="Normal"/>
    <w:link w:val="HTMLAddressChar"/>
    <w:uiPriority w:val="98"/>
    <w:semiHidden/>
    <w:rsid w:val="00B12EF5"/>
    <w:pPr>
      <w:spacing w:line="240" w:lineRule="auto"/>
    </w:pPr>
    <w:rPr>
      <w:i/>
      <w:iCs/>
    </w:rPr>
  </w:style>
  <w:style w:type="character" w:customStyle="1" w:styleId="HTMLAddressChar">
    <w:name w:val="HTML Address Char"/>
    <w:basedOn w:val="DefaultParagraphFont"/>
    <w:link w:val="HTMLAddress"/>
    <w:uiPriority w:val="98"/>
    <w:semiHidden/>
    <w:rsid w:val="00B12EF5"/>
    <w:rPr>
      <w:rFonts w:asciiTheme="minorHAnsi" w:eastAsiaTheme="minorEastAsia" w:hAnsiTheme="minorHAnsi" w:cstheme="minorBidi"/>
      <w:i/>
      <w:iCs/>
      <w:szCs w:val="24"/>
    </w:rPr>
  </w:style>
  <w:style w:type="character" w:styleId="HTMLCite">
    <w:name w:val="HTML Cite"/>
    <w:basedOn w:val="DefaultParagraphFont"/>
    <w:uiPriority w:val="98"/>
    <w:semiHidden/>
    <w:rsid w:val="00B12EF5"/>
    <w:rPr>
      <w:rFonts w:asciiTheme="minorHAnsi" w:eastAsiaTheme="minorEastAsia" w:hAnsiTheme="minorHAnsi" w:cstheme="minorBidi"/>
      <w:i/>
      <w:iCs/>
      <w:szCs w:val="24"/>
    </w:rPr>
  </w:style>
  <w:style w:type="character" w:styleId="HTMLCode">
    <w:name w:val="HTML Code"/>
    <w:basedOn w:val="DefaultParagraphFont"/>
    <w:uiPriority w:val="98"/>
    <w:semiHidden/>
    <w:rsid w:val="00B12EF5"/>
    <w:rPr>
      <w:rFonts w:asciiTheme="minorHAnsi" w:eastAsiaTheme="minorEastAsia" w:hAnsiTheme="minorHAnsi" w:cstheme="minorBidi"/>
      <w:sz w:val="20"/>
      <w:szCs w:val="26"/>
    </w:rPr>
  </w:style>
  <w:style w:type="character" w:styleId="HTMLDefinition">
    <w:name w:val="HTML Definition"/>
    <w:basedOn w:val="DefaultParagraphFont"/>
    <w:uiPriority w:val="98"/>
    <w:semiHidden/>
    <w:rsid w:val="00B12EF5"/>
    <w:rPr>
      <w:rFonts w:asciiTheme="minorHAnsi" w:eastAsiaTheme="minorEastAsia" w:hAnsiTheme="minorHAnsi" w:cstheme="minorBidi"/>
      <w:i/>
      <w:iCs/>
      <w:szCs w:val="24"/>
    </w:rPr>
  </w:style>
  <w:style w:type="character" w:styleId="HTMLKeyboard">
    <w:name w:val="HTML Keyboard"/>
    <w:basedOn w:val="DefaultParagraphFont"/>
    <w:uiPriority w:val="98"/>
    <w:semiHidden/>
    <w:rsid w:val="00B12EF5"/>
    <w:rPr>
      <w:rFonts w:asciiTheme="minorHAnsi" w:eastAsiaTheme="minorEastAsia" w:hAnsiTheme="minorHAnsi" w:cstheme="minorBidi"/>
      <w:sz w:val="20"/>
      <w:szCs w:val="26"/>
    </w:rPr>
  </w:style>
  <w:style w:type="paragraph" w:styleId="HTMLPreformatted">
    <w:name w:val="HTML Preformatted"/>
    <w:basedOn w:val="Normal"/>
    <w:link w:val="HTMLPreformattedChar"/>
    <w:uiPriority w:val="98"/>
    <w:semiHidden/>
    <w:rsid w:val="00B12EF5"/>
    <w:pPr>
      <w:spacing w:line="240" w:lineRule="auto"/>
    </w:pPr>
    <w:rPr>
      <w:sz w:val="20"/>
      <w:szCs w:val="26"/>
    </w:rPr>
  </w:style>
  <w:style w:type="character" w:customStyle="1" w:styleId="HTMLPreformattedChar">
    <w:name w:val="HTML Preformatted Char"/>
    <w:basedOn w:val="DefaultParagraphFont"/>
    <w:link w:val="HTMLPreformatted"/>
    <w:uiPriority w:val="98"/>
    <w:semiHidden/>
    <w:rsid w:val="00B12EF5"/>
    <w:rPr>
      <w:rFonts w:asciiTheme="minorHAnsi" w:eastAsiaTheme="minorEastAsia" w:hAnsiTheme="minorHAnsi" w:cstheme="minorBidi"/>
      <w:sz w:val="20"/>
      <w:szCs w:val="26"/>
    </w:rPr>
  </w:style>
  <w:style w:type="character" w:styleId="HTMLSample">
    <w:name w:val="HTML Sample"/>
    <w:basedOn w:val="DefaultParagraphFont"/>
    <w:uiPriority w:val="98"/>
    <w:semiHidden/>
    <w:rsid w:val="00B12EF5"/>
    <w:rPr>
      <w:rFonts w:asciiTheme="minorHAnsi" w:eastAsiaTheme="minorEastAsia" w:hAnsiTheme="minorHAnsi" w:cstheme="minorBidi"/>
      <w:sz w:val="24"/>
      <w:szCs w:val="30"/>
    </w:rPr>
  </w:style>
  <w:style w:type="character" w:styleId="HTMLTypewriter">
    <w:name w:val="HTML Typewriter"/>
    <w:basedOn w:val="DefaultParagraphFont"/>
    <w:uiPriority w:val="98"/>
    <w:semiHidden/>
    <w:rsid w:val="00B12EF5"/>
    <w:rPr>
      <w:rFonts w:asciiTheme="minorHAnsi" w:eastAsiaTheme="minorEastAsia" w:hAnsiTheme="minorHAnsi" w:cstheme="minorBidi"/>
      <w:sz w:val="20"/>
      <w:szCs w:val="26"/>
    </w:rPr>
  </w:style>
  <w:style w:type="character" w:styleId="HTMLVariable">
    <w:name w:val="HTML Variable"/>
    <w:basedOn w:val="DefaultParagraphFont"/>
    <w:uiPriority w:val="98"/>
    <w:semiHidden/>
    <w:rsid w:val="00B12EF5"/>
    <w:rPr>
      <w:rFonts w:asciiTheme="minorHAnsi" w:eastAsiaTheme="minorEastAsia" w:hAnsiTheme="minorHAnsi" w:cstheme="minorBidi"/>
      <w:i/>
      <w:iCs/>
      <w:szCs w:val="24"/>
    </w:rPr>
  </w:style>
  <w:style w:type="character" w:styleId="Hyperlink">
    <w:name w:val="Hyperlink"/>
    <w:basedOn w:val="DefaultParagraphFont"/>
    <w:uiPriority w:val="98"/>
    <w:rsid w:val="00B12EF5"/>
    <w:rPr>
      <w:rFonts w:asciiTheme="minorHAnsi" w:eastAsiaTheme="minorEastAsia" w:hAnsiTheme="minorHAnsi" w:cstheme="minorBidi"/>
      <w:color w:val="0000FF" w:themeColor="hyperlink"/>
      <w:szCs w:val="24"/>
      <w:u w:val="single"/>
    </w:rPr>
  </w:style>
  <w:style w:type="paragraph" w:styleId="Index2">
    <w:name w:val="index 2"/>
    <w:basedOn w:val="Normal"/>
    <w:next w:val="Normal"/>
    <w:uiPriority w:val="98"/>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DDDDDD" w:themeColor="accent1"/>
      <w:szCs w:val="24"/>
    </w:rPr>
  </w:style>
  <w:style w:type="paragraph" w:styleId="IntenseQuote">
    <w:name w:val="Intense Quote"/>
    <w:basedOn w:val="Normal"/>
    <w:next w:val="Normal"/>
    <w:link w:val="IntenseQuoteChar"/>
    <w:uiPriority w:val="98"/>
    <w:semiHidden/>
    <w:rsid w:val="00B12EF5"/>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98"/>
    <w:semiHidden/>
    <w:rsid w:val="00B12EF5"/>
    <w:rPr>
      <w:rFonts w:asciiTheme="minorHAnsi" w:eastAsiaTheme="minorEastAsia" w:hAnsiTheme="minorHAnsi" w:cstheme="minorBidi"/>
      <w:b/>
      <w:bCs/>
      <w:i/>
      <w:iCs/>
      <w:color w:val="DDDDDD" w:themeColor="accent1"/>
      <w:szCs w:val="24"/>
    </w:rPr>
  </w:style>
  <w:style w:type="character" w:styleId="IntenseReference">
    <w:name w:val="Intense Reference"/>
    <w:basedOn w:val="DefaultParagraphFont"/>
    <w:uiPriority w:val="98"/>
    <w:semiHidden/>
    <w:rsid w:val="00B12EF5"/>
    <w:rPr>
      <w:rFonts w:asciiTheme="minorHAnsi" w:eastAsiaTheme="minorEastAsia" w:hAnsiTheme="minorHAnsi" w:cstheme="minorBidi"/>
      <w:b/>
      <w:bCs/>
      <w:smallCaps/>
      <w:color w:val="B2B2B2" w:themeColor="accent2"/>
      <w:spacing w:val="5"/>
      <w:szCs w:val="24"/>
      <w:u w:val="singl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98"/>
    <w:semiHidden/>
    <w:rsid w:val="00B12EF5"/>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98"/>
    <w:semiHidden/>
    <w:rsid w:val="00B12EF5"/>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98"/>
    <w:semiHidden/>
    <w:rsid w:val="00B12EF5"/>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98"/>
    <w:semiHidden/>
    <w:rsid w:val="00B12EF5"/>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semiHidden/>
    <w:rsid w:val="00B12EF5"/>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8"/>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B12EF5"/>
    <w:rPr>
      <w:rFonts w:asciiTheme="minorHAnsi" w:eastAsiaTheme="minorEastAsia" w:hAnsiTheme="minorHAnsi" w:cstheme="minorBidi"/>
      <w:szCs w:val="24"/>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98"/>
    <w:semiHidden/>
    <w:rsid w:val="00B12EF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semiHidden/>
    <w:rsid w:val="00B12EF5"/>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semiHidden/>
    <w:rsid w:val="00B12EF5"/>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semiHidden/>
    <w:rsid w:val="00B12EF5"/>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semiHidden/>
    <w:rsid w:val="00B12EF5"/>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semiHidden/>
    <w:rsid w:val="00B12EF5"/>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rsid w:val="00B12EF5"/>
    <w:rPr>
      <w:rFonts w:asciiTheme="minorHAnsi" w:eastAsiaTheme="minorEastAsia" w:hAnsiTheme="minorHAnsi" w:cstheme="minorBidi"/>
      <w:sz w:val="24"/>
      <w:szCs w:val="30"/>
      <w:shd w:val="pct20" w:color="auto" w:fill="auto"/>
    </w:rPr>
  </w:style>
  <w:style w:type="paragraph" w:styleId="NoSpacing">
    <w:name w:val="No Spacing"/>
    <w:uiPriority w:val="98"/>
    <w:semiHidden/>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customStyle="1" w:styleId="NoteHeading1">
    <w:name w:val="Note Heading1"/>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1"/>
    <w:uiPriority w:val="98"/>
    <w:semiHidden/>
    <w:rsid w:val="00B12EF5"/>
    <w:rPr>
      <w:rFonts w:asciiTheme="minorHAnsi" w:eastAsiaTheme="minorEastAsia" w:hAnsiTheme="minorHAnsi" w:cstheme="minorBidi"/>
      <w:szCs w:val="24"/>
    </w:rPr>
  </w:style>
  <w:style w:type="character" w:styleId="PageNumber">
    <w:name w:val="page number"/>
    <w:basedOn w:val="DefaultParagraphFont"/>
    <w:uiPriority w:val="98"/>
    <w:rsid w:val="00B12EF5"/>
    <w:rPr>
      <w:rFonts w:asciiTheme="minorHAnsi" w:eastAsiaTheme="minorEastAsia" w:hAnsiTheme="minorHAnsi" w:cstheme="minorBidi"/>
      <w:sz w:val="18"/>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B12EF5"/>
    <w:rPr>
      <w:rFonts w:asciiTheme="minorHAnsi" w:eastAsiaTheme="minorEastAsia" w:hAnsiTheme="minorHAnsi" w:cstheme="minorBidi"/>
      <w:sz w:val="21"/>
      <w:szCs w:val="26"/>
    </w:rPr>
  </w:style>
  <w:style w:type="paragraph" w:styleId="Quote">
    <w:name w:val="Quote"/>
    <w:basedOn w:val="Normal"/>
    <w:next w:val="Normal"/>
    <w:link w:val="QuoteChar"/>
    <w:uiPriority w:val="98"/>
    <w:semiHidden/>
    <w:rsid w:val="00B12EF5"/>
    <w:rPr>
      <w:i/>
      <w:iCs/>
      <w:color w:val="000000" w:themeColor="text1"/>
    </w:rPr>
  </w:style>
  <w:style w:type="character" w:customStyle="1" w:styleId="QuoteChar">
    <w:name w:val="Quote Char"/>
    <w:basedOn w:val="DefaultParagraphFont"/>
    <w:link w:val="Quote"/>
    <w:uiPriority w:val="98"/>
    <w:semiHidden/>
    <w:rsid w:val="00B12EF5"/>
    <w:rPr>
      <w:rFonts w:asciiTheme="minorHAnsi" w:eastAsiaTheme="minorEastAsia" w:hAnsiTheme="minorHAnsi" w:cstheme="minorBidi"/>
      <w:i/>
      <w:iCs/>
      <w:color w:val="000000" w:themeColor="text1"/>
      <w:szCs w:val="24"/>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B12EF5"/>
    <w:rPr>
      <w:rFonts w:asciiTheme="minorHAnsi" w:eastAsiaTheme="minorEastAsia" w:hAnsiTheme="minorHAnsi" w:cstheme="minorBidi"/>
      <w:szCs w:val="24"/>
    </w:rPr>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B12EF5"/>
    <w:rPr>
      <w:rFonts w:asciiTheme="minorHAnsi" w:eastAsiaTheme="minorEastAsia" w:hAnsiTheme="minorHAnsi" w:cstheme="minorBidi"/>
      <w:szCs w:val="24"/>
    </w:rPr>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paragraph" w:styleId="Subtitle">
    <w:name w:val="Subtitle"/>
    <w:basedOn w:val="Normal"/>
    <w:next w:val="Normal"/>
    <w:link w:val="SubtitleChar"/>
    <w:uiPriority w:val="98"/>
    <w:semiHidden/>
    <w:rsid w:val="00B12EF5"/>
    <w:pPr>
      <w:numPr>
        <w:ilvl w:val="1"/>
      </w:numPr>
    </w:pPr>
    <w:rPr>
      <w:i/>
      <w:iCs/>
      <w:color w:val="DDDDDD" w:themeColor="accent1"/>
      <w:spacing w:val="15"/>
      <w:sz w:val="24"/>
      <w:szCs w:val="30"/>
    </w:rPr>
  </w:style>
  <w:style w:type="character" w:customStyle="1" w:styleId="SubtitleChar">
    <w:name w:val="Subtitle Char"/>
    <w:basedOn w:val="DefaultParagraphFont"/>
    <w:link w:val="Subtitle"/>
    <w:uiPriority w:val="98"/>
    <w:semiHidden/>
    <w:rsid w:val="00B12EF5"/>
    <w:rPr>
      <w:rFonts w:asciiTheme="minorHAnsi" w:eastAsiaTheme="minorEastAsia" w:hAnsiTheme="minorHAnsi" w:cstheme="minorBidi"/>
      <w:i/>
      <w:iCs/>
      <w:color w:val="DDDDDD" w:themeColor="accent1"/>
      <w:spacing w:val="15"/>
      <w:sz w:val="24"/>
      <w:szCs w:val="30"/>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B12EF5"/>
    <w:rPr>
      <w:rFonts w:asciiTheme="minorHAnsi" w:eastAsiaTheme="minorEastAsia" w:hAnsiTheme="minorHAnsi" w:cstheme="minorBidi"/>
      <w:smallCaps/>
      <w:color w:val="B2B2B2" w:themeColor="accent2"/>
      <w:szCs w:val="24"/>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rsid w:val="00B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8"/>
    <w:semiHidden/>
    <w:rsid w:val="00B12EF5"/>
    <w:pPr>
      <w:pBdr>
        <w:bottom w:val="single" w:sz="8" w:space="4" w:color="DDDDDD" w:themeColor="accent1"/>
      </w:pBdr>
      <w:spacing w:after="300" w:line="240" w:lineRule="auto"/>
      <w:contextualSpacing/>
    </w:pPr>
    <w:rPr>
      <w:color w:val="000000" w:themeColor="text2" w:themeShade="BF"/>
      <w:spacing w:val="5"/>
      <w:kern w:val="28"/>
      <w:sz w:val="52"/>
      <w:szCs w:val="58"/>
    </w:rPr>
  </w:style>
  <w:style w:type="character" w:customStyle="1" w:styleId="TitleChar">
    <w:name w:val="Title Char"/>
    <w:basedOn w:val="DefaultParagraphFont"/>
    <w:link w:val="Title"/>
    <w:uiPriority w:val="98"/>
    <w:semiHidden/>
    <w:rsid w:val="00B12EF5"/>
    <w:rPr>
      <w:rFonts w:asciiTheme="minorHAnsi" w:eastAsiaTheme="minorEastAsia" w:hAnsiTheme="minorHAnsi" w:cstheme="minorBidi"/>
      <w:color w:val="000000" w:themeColor="text2" w:themeShade="BF"/>
      <w:spacing w:val="5"/>
      <w:kern w:val="28"/>
      <w:sz w:val="52"/>
      <w:szCs w:val="58"/>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98"/>
    <w:rsid w:val="0090150D"/>
    <w:pPr>
      <w:tabs>
        <w:tab w:val="left" w:pos="782"/>
        <w:tab w:val="right" w:leader="dot" w:pos="9072"/>
      </w:tabs>
      <w:spacing w:after="0"/>
      <w:ind w:left="782" w:hanging="782"/>
    </w:pPr>
    <w:rPr>
      <w:caps/>
      <w:noProof/>
      <w:lang w:eastAsia="zh-CN"/>
    </w:rPr>
  </w:style>
  <w:style w:type="paragraph" w:styleId="TOC2">
    <w:name w:val="toc 2"/>
    <w:basedOn w:val="TOC1"/>
    <w:uiPriority w:val="98"/>
    <w:rsid w:val="0090150D"/>
    <w:rPr>
      <w:caps w:val="0"/>
    </w:rPr>
  </w:style>
  <w:style w:type="paragraph" w:styleId="TOC3">
    <w:name w:val="toc 3"/>
    <w:basedOn w:val="TOC1"/>
    <w:uiPriority w:val="98"/>
    <w:rsid w:val="0090150D"/>
    <w:pPr>
      <w:tabs>
        <w:tab w:val="clear" w:pos="782"/>
      </w:tabs>
      <w:ind w:left="0" w:firstLine="0"/>
    </w:pPr>
  </w:style>
  <w:style w:type="paragraph" w:styleId="TOC4">
    <w:name w:val="toc 4"/>
    <w:basedOn w:val="TOC1"/>
    <w:uiPriority w:val="98"/>
    <w:rsid w:val="0090150D"/>
    <w:pPr>
      <w:tabs>
        <w:tab w:val="clear" w:pos="782"/>
      </w:tabs>
      <w:ind w:left="0" w:firstLine="0"/>
    </w:pPr>
    <w:rPr>
      <w:caps w:val="0"/>
    </w:rPr>
  </w:style>
  <w:style w:type="paragraph" w:styleId="TOC5">
    <w:name w:val="toc 5"/>
    <w:basedOn w:val="Normal"/>
    <w:next w:val="Normal"/>
    <w:uiPriority w:val="98"/>
    <w:rsid w:val="00B12EF5"/>
    <w:pPr>
      <w:spacing w:after="100"/>
      <w:ind w:left="720"/>
    </w:pPr>
  </w:style>
  <w:style w:type="paragraph" w:styleId="TOC6">
    <w:name w:val="toc 6"/>
    <w:basedOn w:val="Normal"/>
    <w:next w:val="Normal"/>
    <w:uiPriority w:val="98"/>
    <w:rsid w:val="00B12EF5"/>
    <w:pPr>
      <w:spacing w:after="100"/>
      <w:ind w:left="900"/>
    </w:pPr>
  </w:style>
  <w:style w:type="paragraph" w:styleId="TOC7">
    <w:name w:val="toc 7"/>
    <w:basedOn w:val="Normal"/>
    <w:next w:val="Normal"/>
    <w:uiPriority w:val="98"/>
    <w:rsid w:val="00B12EF5"/>
    <w:pPr>
      <w:spacing w:after="100"/>
      <w:ind w:left="1080"/>
    </w:pPr>
  </w:style>
  <w:style w:type="paragraph" w:styleId="TOC8">
    <w:name w:val="toc 8"/>
    <w:basedOn w:val="Normal"/>
    <w:next w:val="Normal"/>
    <w:uiPriority w:val="98"/>
    <w:rsid w:val="00B12EF5"/>
    <w:pPr>
      <w:spacing w:after="100"/>
      <w:ind w:left="1260"/>
    </w:pPr>
  </w:style>
  <w:style w:type="paragraph" w:styleId="TOC9">
    <w:name w:val="toc 9"/>
    <w:basedOn w:val="Normal"/>
    <w:next w:val="Normal"/>
    <w:uiPriority w:val="98"/>
    <w:rsid w:val="00B12EF5"/>
    <w:pPr>
      <w:spacing w:after="100"/>
      <w:ind w:left="1440"/>
    </w:pPr>
  </w:style>
  <w:style w:type="paragraph" w:styleId="TOCHeading">
    <w:name w:val="TOC Heading"/>
    <w:basedOn w:val="Heading1"/>
    <w:next w:val="Normal"/>
    <w:uiPriority w:val="98"/>
    <w:rsid w:val="00B12EF5"/>
    <w:pPr>
      <w:keepNext/>
      <w:keepLines/>
      <w:numPr>
        <w:numId w:val="0"/>
      </w:numPr>
      <w:suppressAutoHyphens w:val="0"/>
      <w:spacing w:before="480" w:after="0"/>
      <w:outlineLvl w:val="9"/>
    </w:pPr>
    <w:rPr>
      <w:b/>
      <w:color w:val="A5A5A5" w:themeColor="accent1" w:themeShade="BF"/>
      <w:kern w:val="0"/>
      <w:sz w:val="28"/>
      <w:szCs w:val="34"/>
      <w:lang w:eastAsia="en-GB"/>
    </w:rPr>
  </w:style>
  <w:style w:type="character" w:customStyle="1" w:styleId="StandardAshurstChar">
    <w:name w:val="StandardAshurst Char"/>
    <w:basedOn w:val="DefaultParagraphFont"/>
    <w:link w:val="StandardAshurst"/>
    <w:rsid w:val="00B12EF5"/>
    <w:rPr>
      <w:rFonts w:asciiTheme="minorHAnsi" w:eastAsiaTheme="minorEastAsia" w:hAnsiTheme="minorHAnsi" w:cstheme="minorBidi"/>
      <w:szCs w:val="24"/>
    </w:rPr>
  </w:style>
  <w:style w:type="paragraph" w:customStyle="1" w:styleId="Alt2RecitalsAshurst">
    <w:name w:val="Alt2_RecitalsAshurst"/>
    <w:basedOn w:val="NormalAshurst"/>
    <w:rsid w:val="009B082F"/>
    <w:pPr>
      <w:numPr>
        <w:numId w:val="33"/>
      </w:numPr>
      <w:outlineLvl w:val="0"/>
    </w:pPr>
    <w:rPr>
      <w:lang w:eastAsia="zh-CN"/>
    </w:rPr>
  </w:style>
  <w:style w:type="paragraph" w:customStyle="1" w:styleId="AltPartiesAshurst">
    <w:name w:val="AltPartiesAshurst"/>
    <w:basedOn w:val="NormalAshurst"/>
    <w:rsid w:val="009B082F"/>
    <w:pPr>
      <w:numPr>
        <w:numId w:val="34"/>
      </w:numPr>
      <w:outlineLvl w:val="0"/>
    </w:pPr>
    <w:rPr>
      <w:lang w:eastAsia="zh-CN"/>
    </w:rPr>
  </w:style>
  <w:style w:type="table" w:customStyle="1" w:styleId="MPTTable1">
    <w:name w:val="MPT Table 1"/>
    <w:basedOn w:val="TableNormal"/>
    <w:rsid w:val="00290483"/>
    <w:rPr>
      <w:rFonts w:eastAsiaTheme="minorHAnsi"/>
      <w:lang w:eastAsia="zh-CN"/>
    </w:rPr>
    <w:tblPr>
      <w:tblBorders>
        <w:bottom w:val="single" w:sz="8" w:space="0" w:color="FFFFFF" w:themeColor="background1"/>
        <w:insideH w:val="single" w:sz="8" w:space="0" w:color="FFFFFF" w:themeColor="background1"/>
        <w:insideV w:val="single" w:sz="8" w:space="0" w:color="FFFFFF" w:themeColor="background1"/>
      </w:tblBorders>
      <w:tblCellMar>
        <w:top w:w="85" w:type="dxa"/>
        <w:bottom w:w="85" w:type="dxa"/>
      </w:tblCellMar>
    </w:tblPr>
    <w:tcPr>
      <w:shd w:val="clear" w:color="auto" w:fill="F8F8F8" w:themeFill="accent1" w:themeFillTint="33"/>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2">
    <w:name w:val="MPT Table 2"/>
    <w:basedOn w:val="MPTTable1"/>
    <w:rsid w:val="00453B0E"/>
    <w:tblPr>
      <w:tblBorders>
        <w:bottom w:val="single" w:sz="8" w:space="0" w:color="DDDDDD" w:themeColor="accent1"/>
        <w:insideH w:val="single" w:sz="8" w:space="0" w:color="DDDDDD" w:themeColor="accent1"/>
        <w:insideV w:val="none" w:sz="0" w:space="0" w:color="auto"/>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3">
    <w:name w:val="MPT Table 3"/>
    <w:basedOn w:val="MPTTable1"/>
    <w:rsid w:val="00453B0E"/>
    <w:tblPr>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4">
    <w:name w:val="MPT Table 4"/>
    <w:basedOn w:val="MPTTable1"/>
    <w:rsid w:val="00453B0E"/>
    <w:tblPr>
      <w:tblStyleRowBandSize w:val="1"/>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DDDDDD" w:themeColor="accent1"/>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F8F8F8" w:themeFill="accent1" w:themeFillTint="33"/>
      </w:tcPr>
    </w:tblStylePr>
  </w:style>
  <w:style w:type="table" w:customStyle="1" w:styleId="MPTTable5">
    <w:name w:val="MPT Table 5"/>
    <w:basedOn w:val="MPTTable1"/>
    <w:rsid w:val="00453B0E"/>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8F8F8" w:themeFill="accent1" w:themeFillTint="33"/>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nil"/>
          <w:insideV w:val="nil"/>
          <w:tl2br w:val="nil"/>
          <w:tr2bl w:val="nil"/>
        </w:tcBorders>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fir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F8F8F8" w:themeFill="accent1" w:themeFillTint="33"/>
      </w:tcPr>
    </w:tblStylePr>
    <w:tblStylePr w:type="la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2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tblStylePr w:type="band2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style>
  <w:style w:type="table" w:customStyle="1" w:styleId="MPTTableSlate1">
    <w:name w:val="MPT Table Slate 1"/>
    <w:basedOn w:val="MPTTable1"/>
    <w:rsid w:val="00453B0E"/>
    <w:tblPr>
      <w:tblStyleRowBandSize w:val="1"/>
    </w:tblPr>
    <w:tcPr>
      <w:shd w:val="clear" w:color="auto" w:fill="CCCCCC" w:themeFill="text1" w:themeFillTint="33"/>
    </w:tcPr>
    <w:tblStylePr w:type="firstRow">
      <w:pPr>
        <w:wordWrap/>
        <w:spacing w:beforeLines="0" w:before="0" w:beforeAutospacing="0" w:afterLines="0" w:after="0" w:afterAutospacing="0" w:line="240" w:lineRule="auto"/>
        <w:jc w:val="left"/>
      </w:pPr>
      <w:rPr>
        <w:rFonts w:asciiTheme="minorHAnsi" w:hAnsiTheme="minorHAnsi"/>
        <w:b/>
        <w:caps/>
        <w:smallCaps w:val="0"/>
        <w:color w:val="FFFFFF" w:themeColor="background1"/>
        <w:sz w:val="18"/>
      </w:rPr>
      <w:tblPr/>
      <w:tcPr>
        <w:tcBorders>
          <w:top w:val="nil"/>
          <w:bottom w:val="single" w:sz="8" w:space="0" w:color="FFFFFF" w:themeColor="background1"/>
          <w:insideH w:val="single" w:sz="8" w:space="0" w:color="FFFFFF" w:themeColor="background1"/>
          <w:insideV w:val="single" w:sz="8" w:space="0" w:color="FFFFFF" w:themeColor="background1"/>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CCCCCC" w:themeFill="text1" w:themeFillTint="33"/>
      </w:tcPr>
    </w:tblStylePr>
    <w:tblStylePr w:type="band1Horz">
      <w:tblPr/>
      <w:tcPr>
        <w:shd w:val="clear" w:color="auto" w:fill="CCCCCC" w:themeFill="text1" w:themeFillTint="33"/>
      </w:tcPr>
    </w:tblStylePr>
  </w:style>
  <w:style w:type="table" w:customStyle="1" w:styleId="MPTTableSlate2">
    <w:name w:val="MPT Table Slate 2"/>
    <w:basedOn w:val="MPTTable2"/>
    <w:rsid w:val="00453B0E"/>
    <w:tblPr>
      <w:tblBorders>
        <w:bottom w:val="single" w:sz="8" w:space="0" w:color="000000" w:themeColor="text1"/>
        <w:insideH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single" w:sz="4" w:space="0" w:color="000000" w:themeColor="text1"/>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3">
    <w:name w:val="MPT Table Slate 3"/>
    <w:basedOn w:val="MPTTable3"/>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4">
    <w:name w:val="MPT Table Slate 4"/>
    <w:basedOn w:val="MPTTable4"/>
    <w:rsid w:val="00453B0E"/>
    <w:tblPr>
      <w:tblBorders>
        <w:bottom w:val="single" w:sz="4" w:space="0" w:color="000000" w:themeColor="text1"/>
        <w:insideH w:val="none" w:sz="0" w:space="0" w:color="auto"/>
        <w:insideV w:val="none" w:sz="0" w:space="0" w:color="auto"/>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nil"/>
          <w:left w:val="nil"/>
          <w:bottom w:val="single" w:sz="8" w:space="0" w:color="000000" w:themeColor="text1"/>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CCCCCC" w:themeFill="text1" w:themeFillTint="33"/>
      </w:tcPr>
    </w:tblStylePr>
  </w:style>
  <w:style w:type="table" w:customStyle="1" w:styleId="MPTTableSlate5">
    <w:name w:val="MPT Table Slate 5"/>
    <w:basedOn w:val="MPTTable5"/>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fir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CCCCCC" w:themeFill="text1" w:themeFillTint="33"/>
      </w:tcPr>
    </w:tblStylePr>
    <w:tblStylePr w:type="la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2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Horz">
      <w:tblPr/>
      <w:tcPr>
        <w:tcBorders>
          <w:top w:val="nil"/>
          <w:left w:val="nil"/>
          <w:bottom w:val="single" w:sz="8" w:space="0" w:color="000000" w:themeColor="text1"/>
          <w:right w:val="nil"/>
          <w:insideH w:val="nil"/>
          <w:insideV w:val="nil"/>
          <w:tl2br w:val="nil"/>
          <w:tr2bl w:val="nil"/>
        </w:tcBorders>
        <w:shd w:val="clear" w:color="auto" w:fill="auto"/>
      </w:tcPr>
    </w:tblStylePr>
    <w:tblStylePr w:type="band2Horz">
      <w:tblPr/>
      <w:tcPr>
        <w:tcBorders>
          <w:top w:val="nil"/>
          <w:left w:val="nil"/>
          <w:bottom w:val="single" w:sz="8" w:space="0" w:color="000000" w:themeColor="text1"/>
          <w:right w:val="nil"/>
          <w:insideH w:val="nil"/>
          <w:insideV w:val="nil"/>
          <w:tl2br w:val="nil"/>
          <w:tr2bl w:val="nil"/>
        </w:tcBorders>
        <w:shd w:val="clear" w:color="auto" w:fill="auto"/>
      </w:tcPr>
    </w:tblStylePr>
  </w:style>
  <w:style w:type="paragraph" w:customStyle="1" w:styleId="DefSubSubAshurst">
    <w:name w:val="DefSubSubAshurst"/>
    <w:basedOn w:val="NormalAshurst"/>
    <w:uiPriority w:val="26"/>
    <w:rsid w:val="00AB24AD"/>
    <w:pPr>
      <w:numPr>
        <w:ilvl w:val="3"/>
        <w:numId w:val="30"/>
      </w:numPr>
    </w:pPr>
  </w:style>
  <w:style w:type="paragraph" w:customStyle="1" w:styleId="NormalOCAshurst">
    <w:name w:val="NormalOCAshurst"/>
    <w:link w:val="NormalOCAshurstChar"/>
    <w:qFormat/>
    <w:rsid w:val="006A0136"/>
    <w:pPr>
      <w:suppressAutoHyphens/>
      <w:spacing w:after="200"/>
      <w:jc w:val="both"/>
    </w:pPr>
    <w:rPr>
      <w:rFonts w:ascii="Times New Roman" w:eastAsia="Times New Roman" w:hAnsi="Times New Roman" w:cs="Times New Roman"/>
      <w:sz w:val="20"/>
      <w:szCs w:val="20"/>
      <w:lang w:eastAsia="en-GB"/>
    </w:rPr>
  </w:style>
  <w:style w:type="character" w:customStyle="1" w:styleId="NormalOCAshurstChar">
    <w:name w:val="NormalOCAshurst Char"/>
    <w:link w:val="NormalOCAshurst"/>
    <w:rsid w:val="006A0136"/>
    <w:rPr>
      <w:rFonts w:ascii="Times New Roman" w:eastAsia="Times New Roman" w:hAnsi="Times New Roman" w:cs="Times New Roman"/>
      <w:sz w:val="20"/>
      <w:szCs w:val="20"/>
      <w:lang w:eastAsia="en-GB"/>
    </w:rPr>
  </w:style>
  <w:style w:type="paragraph" w:customStyle="1" w:styleId="StandardOCAshurst">
    <w:name w:val="StandardOCAshurst"/>
    <w:basedOn w:val="NormalOCAshurst"/>
    <w:link w:val="StandardOCAshurstChar"/>
    <w:qFormat/>
    <w:rsid w:val="006A0136"/>
    <w:pPr>
      <w:spacing w:after="0"/>
    </w:pPr>
  </w:style>
  <w:style w:type="character" w:customStyle="1" w:styleId="StandardOCAshurstChar">
    <w:name w:val="StandardOCAshurst Char"/>
    <w:basedOn w:val="NormalOCAshurstChar"/>
    <w:link w:val="StandardOCAshurst"/>
    <w:rsid w:val="006A0136"/>
    <w:rPr>
      <w:rFonts w:ascii="Times New Roman" w:eastAsia="Times New Roman" w:hAnsi="Times New Roman" w:cs="Times New Roman"/>
      <w:sz w:val="20"/>
      <w:szCs w:val="20"/>
      <w:lang w:eastAsia="en-GB"/>
    </w:rPr>
  </w:style>
  <w:style w:type="paragraph" w:customStyle="1" w:styleId="AltH5OCAshurst">
    <w:name w:val="AltH5OCAshurst"/>
    <w:basedOn w:val="NormalOCAshurst"/>
    <w:rsid w:val="006A0136"/>
    <w:pPr>
      <w:numPr>
        <w:ilvl w:val="4"/>
        <w:numId w:val="35"/>
      </w:numPr>
      <w:tabs>
        <w:tab w:val="clear" w:pos="1843"/>
        <w:tab w:val="num" w:pos="2653"/>
        <w:tab w:val="num" w:pos="3600"/>
      </w:tabs>
      <w:ind w:left="2653" w:hanging="623"/>
      <w:outlineLvl w:val="4"/>
    </w:pPr>
    <w:rPr>
      <w:rFonts w:eastAsia="Microsoft JhengHei"/>
    </w:rPr>
  </w:style>
  <w:style w:type="paragraph" w:customStyle="1" w:styleId="AltH1OCAshurst">
    <w:name w:val="AltH1OCAshurst"/>
    <w:basedOn w:val="NormalOCAshurst"/>
    <w:rsid w:val="006A0136"/>
    <w:pPr>
      <w:numPr>
        <w:numId w:val="35"/>
      </w:numPr>
      <w:tabs>
        <w:tab w:val="clear" w:pos="709"/>
        <w:tab w:val="num" w:pos="782"/>
        <w:tab w:val="num" w:pos="3277"/>
      </w:tabs>
      <w:ind w:left="782" w:hanging="782"/>
      <w:outlineLvl w:val="0"/>
    </w:pPr>
    <w:rPr>
      <w:rFonts w:eastAsia="Microsoft JhengHei"/>
    </w:rPr>
  </w:style>
  <w:style w:type="paragraph" w:customStyle="1" w:styleId="AltH2OCAshurst">
    <w:name w:val="AltH2OCAshurst"/>
    <w:basedOn w:val="NormalOCAshurst"/>
    <w:rsid w:val="006A0136"/>
    <w:pPr>
      <w:numPr>
        <w:ilvl w:val="1"/>
        <w:numId w:val="35"/>
      </w:numPr>
      <w:tabs>
        <w:tab w:val="clear" w:pos="709"/>
        <w:tab w:val="num" w:pos="782"/>
        <w:tab w:val="num" w:pos="1440"/>
      </w:tabs>
      <w:ind w:left="782" w:hanging="782"/>
      <w:outlineLvl w:val="1"/>
    </w:pPr>
    <w:rPr>
      <w:rFonts w:eastAsia="Microsoft JhengHei"/>
    </w:rPr>
  </w:style>
  <w:style w:type="paragraph" w:customStyle="1" w:styleId="AltH3OCAshurst">
    <w:name w:val="AltH3OCAshurst"/>
    <w:basedOn w:val="NormalOCAshurst"/>
    <w:rsid w:val="006A0136"/>
    <w:pPr>
      <w:numPr>
        <w:ilvl w:val="2"/>
        <w:numId w:val="35"/>
      </w:numPr>
      <w:tabs>
        <w:tab w:val="clear" w:pos="709"/>
        <w:tab w:val="num" w:pos="1406"/>
        <w:tab w:val="num" w:pos="2160"/>
      </w:tabs>
      <w:ind w:left="1406" w:hanging="624"/>
      <w:outlineLvl w:val="2"/>
    </w:pPr>
    <w:rPr>
      <w:rFonts w:eastAsia="Microsoft JhengHei"/>
    </w:rPr>
  </w:style>
  <w:style w:type="paragraph" w:customStyle="1" w:styleId="AltH4OCAshurst">
    <w:name w:val="AltH4OCAshurst"/>
    <w:basedOn w:val="NormalOCAshurst"/>
    <w:rsid w:val="006A0136"/>
    <w:pPr>
      <w:numPr>
        <w:ilvl w:val="3"/>
        <w:numId w:val="35"/>
      </w:numPr>
      <w:tabs>
        <w:tab w:val="clear" w:pos="1276"/>
        <w:tab w:val="num" w:pos="2030"/>
        <w:tab w:val="num" w:pos="2880"/>
      </w:tabs>
      <w:ind w:left="2030" w:hanging="624"/>
      <w:outlineLvl w:val="3"/>
    </w:pPr>
    <w:rPr>
      <w:rFonts w:eastAsia="Microsoft JhengHei"/>
    </w:rPr>
  </w:style>
  <w:style w:type="paragraph" w:customStyle="1" w:styleId="AltH6OCAshurst">
    <w:name w:val="AltH6OCAshurst"/>
    <w:basedOn w:val="NormalOCAshurst"/>
    <w:rsid w:val="006A0136"/>
    <w:pPr>
      <w:numPr>
        <w:ilvl w:val="5"/>
        <w:numId w:val="35"/>
      </w:numPr>
      <w:tabs>
        <w:tab w:val="clear" w:pos="2410"/>
        <w:tab w:val="num" w:pos="3277"/>
        <w:tab w:val="num" w:pos="4320"/>
      </w:tabs>
      <w:ind w:left="3277" w:hanging="624"/>
      <w:outlineLvl w:val="5"/>
    </w:pPr>
    <w:rPr>
      <w:rFonts w:eastAsia="Microsoft JhengHei"/>
    </w:rPr>
  </w:style>
  <w:style w:type="paragraph" w:customStyle="1" w:styleId="AltH7OCAshurst">
    <w:name w:val="AltH7OCAshurst"/>
    <w:basedOn w:val="NormalOCAshurst"/>
    <w:rsid w:val="006A0136"/>
    <w:pPr>
      <w:numPr>
        <w:ilvl w:val="6"/>
        <w:numId w:val="35"/>
      </w:numPr>
      <w:tabs>
        <w:tab w:val="clear" w:pos="2977"/>
        <w:tab w:val="num" w:pos="0"/>
        <w:tab w:val="num" w:pos="5040"/>
      </w:tabs>
      <w:ind w:left="0" w:firstLine="0"/>
      <w:outlineLvl w:val="6"/>
    </w:pPr>
    <w:rPr>
      <w:rFonts w:eastAsia="Microsoft JhengHei"/>
    </w:rPr>
  </w:style>
  <w:style w:type="paragraph" w:customStyle="1" w:styleId="AltH8OCAshurst">
    <w:name w:val="AltH8OCAshurst"/>
    <w:basedOn w:val="NormalOCAshurst"/>
    <w:rsid w:val="006A0136"/>
    <w:pPr>
      <w:numPr>
        <w:ilvl w:val="7"/>
        <w:numId w:val="35"/>
      </w:numPr>
      <w:tabs>
        <w:tab w:val="clear" w:pos="3544"/>
        <w:tab w:val="num" w:pos="0"/>
        <w:tab w:val="num" w:pos="5760"/>
      </w:tabs>
      <w:ind w:left="0" w:firstLine="0"/>
      <w:outlineLvl w:val="7"/>
    </w:pPr>
    <w:rPr>
      <w:rFonts w:eastAsia="Microsoft JhengHei"/>
    </w:rPr>
  </w:style>
  <w:style w:type="paragraph" w:customStyle="1" w:styleId="DefSubOCAshurst">
    <w:name w:val="DefSubOCAshurst"/>
    <w:basedOn w:val="NormalOCAshurst"/>
    <w:uiPriority w:val="79"/>
    <w:rsid w:val="00606F84"/>
    <w:pPr>
      <w:numPr>
        <w:ilvl w:val="1"/>
        <w:numId w:val="36"/>
      </w:numPr>
      <w:tabs>
        <w:tab w:val="clear" w:pos="709"/>
        <w:tab w:val="num" w:pos="360"/>
        <w:tab w:val="num" w:pos="782"/>
      </w:tabs>
      <w:ind w:left="0" w:firstLine="0"/>
      <w:outlineLvl w:val="0"/>
    </w:pPr>
    <w:rPr>
      <w:rFonts w:eastAsia="Microsoft JhengHei"/>
    </w:rPr>
  </w:style>
  <w:style w:type="paragraph" w:customStyle="1" w:styleId="DefSubSubOCAshurst">
    <w:name w:val="DefSubSubOCAshurst"/>
    <w:basedOn w:val="NormalOCAshurst"/>
    <w:uiPriority w:val="79"/>
    <w:rsid w:val="00606F84"/>
    <w:pPr>
      <w:numPr>
        <w:ilvl w:val="2"/>
        <w:numId w:val="36"/>
      </w:numPr>
      <w:tabs>
        <w:tab w:val="clear" w:pos="1276"/>
        <w:tab w:val="num" w:pos="1406"/>
      </w:tabs>
      <w:ind w:left="1406" w:hanging="624"/>
      <w:outlineLvl w:val="1"/>
    </w:pPr>
    <w:rPr>
      <w:rFonts w:eastAsia="Microsoft JhengHei"/>
    </w:rPr>
  </w:style>
  <w:style w:type="paragraph" w:customStyle="1" w:styleId="DefClauseOCAshurst">
    <w:name w:val="DefClauseOCAshurst"/>
    <w:basedOn w:val="NormalOCAshurst"/>
    <w:next w:val="DefSubOCAshurst"/>
    <w:uiPriority w:val="98"/>
    <w:rsid w:val="00606F84"/>
    <w:pPr>
      <w:numPr>
        <w:numId w:val="36"/>
      </w:numPr>
      <w:tabs>
        <w:tab w:val="num" w:pos="782"/>
      </w:tabs>
      <w:ind w:left="782" w:hanging="782"/>
    </w:pPr>
    <w:rPr>
      <w:rFonts w:eastAsia="Microsoft JhengHei"/>
    </w:rPr>
  </w:style>
  <w:style w:type="paragraph" w:customStyle="1" w:styleId="Style1">
    <w:name w:val="Style1"/>
    <w:basedOn w:val="H3Ashurst"/>
    <w:link w:val="Style1Char"/>
    <w:qFormat/>
    <w:rsid w:val="00953D93"/>
    <w:pPr>
      <w:numPr>
        <w:ilvl w:val="0"/>
        <w:numId w:val="0"/>
      </w:numPr>
      <w:ind w:left="782"/>
    </w:pPr>
  </w:style>
  <w:style w:type="character" w:customStyle="1" w:styleId="H3AshurstChar">
    <w:name w:val="H3Ashurst Char"/>
    <w:basedOn w:val="NormalAshurstChar"/>
    <w:link w:val="H3Ashurst"/>
    <w:uiPriority w:val="1"/>
    <w:rsid w:val="00953D93"/>
  </w:style>
  <w:style w:type="character" w:customStyle="1" w:styleId="Style1Char">
    <w:name w:val="Style1 Char"/>
    <w:basedOn w:val="H3AshurstChar"/>
    <w:link w:val="Style1"/>
    <w:rsid w:val="00953D93"/>
  </w:style>
  <w:style w:type="paragraph" w:styleId="Revision">
    <w:name w:val="Revision"/>
    <w:hidden/>
    <w:semiHidden/>
    <w:rsid w:val="00F13F6A"/>
    <w:rPr>
      <w:rFonts w:ascii="Verdana" w:eastAsia="Times New Roman" w:hAnsi="Verdana" w:cs="Times New Roman"/>
      <w:szCs w:val="18"/>
      <w:lang w:eastAsia="en-GB"/>
    </w:rPr>
  </w:style>
  <w:style w:type="table" w:customStyle="1" w:styleId="TableGrid10">
    <w:name w:val="Table Grid1"/>
    <w:basedOn w:val="TableNormal"/>
    <w:next w:val="TableGrid"/>
    <w:uiPriority w:val="98"/>
    <w:rsid w:val="00ED4B71"/>
    <w:pPr>
      <w:spacing w:before="100" w:after="100"/>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OCAshurst">
    <w:name w:val="Body1OCAshurst"/>
    <w:basedOn w:val="Normal"/>
    <w:uiPriority w:val="2"/>
    <w:qFormat/>
    <w:rsid w:val="005E3176"/>
    <w:pPr>
      <w:spacing w:after="200" w:line="240" w:lineRule="auto"/>
      <w:ind w:left="709"/>
    </w:pPr>
    <w:rPr>
      <w:rFonts w:eastAsiaTheme="minorEastAsia" w:cs="Calibri"/>
      <w:sz w:val="20"/>
      <w:szCs w:val="20"/>
      <w:lang w:eastAsia="zh-CN"/>
    </w:rPr>
  </w:style>
  <w:style w:type="paragraph" w:customStyle="1" w:styleId="Times">
    <w:name w:val="Times"/>
    <w:basedOn w:val="Normal"/>
    <w:rsid w:val="003F1726"/>
    <w:pPr>
      <w:tabs>
        <w:tab w:val="left" w:pos="709"/>
        <w:tab w:val="left" w:pos="1276"/>
        <w:tab w:val="left" w:pos="1843"/>
        <w:tab w:val="left" w:pos="2409"/>
        <w:tab w:val="left" w:pos="2976"/>
        <w:tab w:val="left" w:pos="3543"/>
        <w:tab w:val="left" w:pos="4110"/>
      </w:tabs>
      <w:suppressAutoHyphens/>
      <w:spacing w:after="200" w:line="240" w:lineRule="auto"/>
      <w:ind w:left="629"/>
    </w:pPr>
    <w:rPr>
      <w:rFonts w:ascii="Times New Roman" w:hAnsi="Times New Roman"/>
      <w:b/>
      <w:bCs/>
      <w:sz w:val="20"/>
      <w:szCs w:val="20"/>
    </w:rPr>
  </w:style>
  <w:style w:type="paragraph" w:customStyle="1" w:styleId="TableNum1OCAshurst">
    <w:name w:val="TableNum1OCAshurst"/>
    <w:basedOn w:val="NormalOCAshurst"/>
    <w:uiPriority w:val="79"/>
    <w:rsid w:val="00F25F8F"/>
    <w:pPr>
      <w:numPr>
        <w:numId w:val="37"/>
      </w:numPr>
      <w:outlineLvl w:val="0"/>
    </w:pPr>
    <w:rPr>
      <w:rFonts w:asciiTheme="minorHAnsi" w:eastAsiaTheme="minorEastAsia" w:hAnsiTheme="minorHAnsi"/>
      <w:lang w:eastAsia="ja-JP"/>
    </w:rPr>
  </w:style>
  <w:style w:type="paragraph" w:customStyle="1" w:styleId="TableNum2OCAshurst">
    <w:name w:val="TableNum2OCAshurst"/>
    <w:basedOn w:val="NormalOCAshurst"/>
    <w:uiPriority w:val="79"/>
    <w:rsid w:val="00F25F8F"/>
    <w:pPr>
      <w:numPr>
        <w:ilvl w:val="1"/>
        <w:numId w:val="37"/>
      </w:numPr>
      <w:outlineLvl w:val="1"/>
    </w:pPr>
    <w:rPr>
      <w:rFonts w:asciiTheme="minorHAnsi" w:eastAsiaTheme="minorEastAsia" w:hAnsiTheme="minorHAnsi"/>
      <w:lang w:eastAsia="ja-JP"/>
    </w:rPr>
  </w:style>
  <w:style w:type="paragraph" w:customStyle="1" w:styleId="TableNum3OCAshurst">
    <w:name w:val="TableNum3OCAshurst"/>
    <w:basedOn w:val="NormalOCAshurst"/>
    <w:uiPriority w:val="79"/>
    <w:rsid w:val="00F25F8F"/>
    <w:pPr>
      <w:numPr>
        <w:ilvl w:val="2"/>
        <w:numId w:val="37"/>
      </w:numPr>
    </w:pPr>
    <w:rPr>
      <w:rFonts w:asciiTheme="minorHAnsi" w:eastAsiaTheme="minorEastAsia" w:hAnsiTheme="minorHAnsi"/>
      <w:lang w:eastAsia="ja-JP"/>
    </w:rPr>
  </w:style>
  <w:style w:type="paragraph" w:customStyle="1" w:styleId="TableNum4OCAshurst">
    <w:name w:val="TableNum4OCAshurst"/>
    <w:basedOn w:val="NormalOCAshurst"/>
    <w:uiPriority w:val="79"/>
    <w:rsid w:val="00F25F8F"/>
    <w:pPr>
      <w:numPr>
        <w:ilvl w:val="3"/>
        <w:numId w:val="37"/>
      </w:numPr>
    </w:pPr>
    <w:rPr>
      <w:rFonts w:asciiTheme="minorHAnsi" w:eastAsiaTheme="minorEastAsia" w:hAnsiTheme="minorHAnsi"/>
      <w:lang w:eastAsia="ja-JP"/>
    </w:rPr>
  </w:style>
  <w:style w:type="paragraph" w:customStyle="1" w:styleId="TableNum5OCAshurst">
    <w:name w:val="TableNum5OCAshurst"/>
    <w:basedOn w:val="NormalOCAshurst"/>
    <w:uiPriority w:val="79"/>
    <w:rsid w:val="00F25F8F"/>
    <w:pPr>
      <w:numPr>
        <w:ilvl w:val="4"/>
        <w:numId w:val="37"/>
      </w:numPr>
    </w:pPr>
    <w:rPr>
      <w:rFonts w:asciiTheme="minorHAnsi" w:eastAsiaTheme="minorEastAsia" w:hAnsiTheme="minorHAnsi"/>
      <w:lang w:eastAsia="ja-JP"/>
    </w:rPr>
  </w:style>
  <w:style w:type="paragraph" w:customStyle="1" w:styleId="TableNum6OCAshurst">
    <w:name w:val="TableNum6OCAshurst"/>
    <w:basedOn w:val="NormalOCAshurst"/>
    <w:uiPriority w:val="79"/>
    <w:rsid w:val="00F25F8F"/>
    <w:pPr>
      <w:numPr>
        <w:ilvl w:val="5"/>
        <w:numId w:val="37"/>
      </w:numPr>
    </w:pPr>
    <w:rPr>
      <w:rFonts w:asciiTheme="minorHAnsi" w:eastAsiaTheme="minorEastAsia" w:hAnsiTheme="minorHAnsi"/>
      <w:lang w:eastAsia="ja-JP"/>
    </w:rPr>
  </w:style>
  <w:style w:type="paragraph" w:customStyle="1" w:styleId="BulletOCAshurst">
    <w:name w:val="BulletOCAshurst"/>
    <w:basedOn w:val="NormalOCAshurst"/>
    <w:uiPriority w:val="79"/>
    <w:rsid w:val="00CA64A0"/>
    <w:pPr>
      <w:numPr>
        <w:numId w:val="38"/>
      </w:numPr>
    </w:pPr>
    <w:rPr>
      <w:rFonts w:asciiTheme="minorHAnsi" w:eastAsiaTheme="minorEastAsia" w:hAnsiTheme="minorHAnsi"/>
    </w:rPr>
  </w:style>
  <w:style w:type="paragraph" w:customStyle="1" w:styleId="H1OCAshurst">
    <w:name w:val="H1OCAshurst"/>
    <w:basedOn w:val="NormalOCAshurst"/>
    <w:uiPriority w:val="1"/>
    <w:qFormat/>
    <w:rsid w:val="00A16450"/>
    <w:pPr>
      <w:numPr>
        <w:numId w:val="39"/>
      </w:numPr>
      <w:outlineLvl w:val="0"/>
    </w:pPr>
    <w:rPr>
      <w:rFonts w:asciiTheme="minorHAnsi" w:eastAsiaTheme="minorEastAsia" w:hAnsiTheme="minorHAnsi"/>
      <w:b/>
    </w:rPr>
  </w:style>
  <w:style w:type="paragraph" w:customStyle="1" w:styleId="H2OCAshurst">
    <w:name w:val="H2OCAshurst"/>
    <w:basedOn w:val="NormalOCAshurst"/>
    <w:uiPriority w:val="1"/>
    <w:qFormat/>
    <w:rsid w:val="00A16450"/>
    <w:pPr>
      <w:numPr>
        <w:ilvl w:val="1"/>
        <w:numId w:val="39"/>
      </w:numPr>
      <w:outlineLvl w:val="1"/>
    </w:pPr>
    <w:rPr>
      <w:rFonts w:asciiTheme="minorHAnsi" w:eastAsiaTheme="minorEastAsia" w:hAnsiTheme="minorHAnsi"/>
      <w:b/>
    </w:rPr>
  </w:style>
  <w:style w:type="paragraph" w:customStyle="1" w:styleId="H3OCAshurst">
    <w:name w:val="H3OCAshurst"/>
    <w:basedOn w:val="NormalOCAshurst"/>
    <w:uiPriority w:val="1"/>
    <w:qFormat/>
    <w:rsid w:val="00A16450"/>
    <w:pPr>
      <w:numPr>
        <w:ilvl w:val="2"/>
        <w:numId w:val="39"/>
      </w:numPr>
      <w:outlineLvl w:val="2"/>
    </w:pPr>
    <w:rPr>
      <w:rFonts w:asciiTheme="minorHAnsi" w:eastAsiaTheme="minorEastAsia" w:hAnsiTheme="minorHAnsi"/>
    </w:rPr>
  </w:style>
  <w:style w:type="paragraph" w:customStyle="1" w:styleId="H4OCAshurst">
    <w:name w:val="H4OCAshurst"/>
    <w:basedOn w:val="NormalOCAshurst"/>
    <w:uiPriority w:val="1"/>
    <w:qFormat/>
    <w:rsid w:val="00A16450"/>
    <w:pPr>
      <w:numPr>
        <w:ilvl w:val="3"/>
        <w:numId w:val="39"/>
      </w:numPr>
      <w:outlineLvl w:val="3"/>
    </w:pPr>
    <w:rPr>
      <w:rFonts w:asciiTheme="minorHAnsi" w:eastAsiaTheme="minorEastAsia" w:hAnsiTheme="minorHAnsi"/>
    </w:rPr>
  </w:style>
  <w:style w:type="paragraph" w:customStyle="1" w:styleId="H5OCAshurst">
    <w:name w:val="H5OCAshurst"/>
    <w:basedOn w:val="NormalOCAshurst"/>
    <w:uiPriority w:val="1"/>
    <w:qFormat/>
    <w:rsid w:val="00A16450"/>
    <w:pPr>
      <w:numPr>
        <w:ilvl w:val="4"/>
        <w:numId w:val="39"/>
      </w:numPr>
      <w:outlineLvl w:val="4"/>
    </w:pPr>
    <w:rPr>
      <w:rFonts w:asciiTheme="minorHAnsi" w:eastAsiaTheme="minorEastAsia" w:hAnsiTheme="minorHAnsi"/>
    </w:rPr>
  </w:style>
  <w:style w:type="paragraph" w:customStyle="1" w:styleId="H6OCAshurst">
    <w:name w:val="H6OCAshurst"/>
    <w:basedOn w:val="NormalOCAshurst"/>
    <w:uiPriority w:val="38"/>
    <w:rsid w:val="00A16450"/>
    <w:pPr>
      <w:numPr>
        <w:ilvl w:val="5"/>
        <w:numId w:val="39"/>
      </w:numPr>
      <w:outlineLvl w:val="5"/>
    </w:pPr>
    <w:rPr>
      <w:rFonts w:asciiTheme="minorHAnsi" w:eastAsiaTheme="minorEastAsia" w:hAnsiTheme="minorHAnsi"/>
    </w:rPr>
  </w:style>
  <w:style w:type="paragraph" w:customStyle="1" w:styleId="H7OCAshurst">
    <w:name w:val="H7OCAshurst"/>
    <w:basedOn w:val="NormalOCAshurst"/>
    <w:uiPriority w:val="38"/>
    <w:rsid w:val="00A16450"/>
    <w:pPr>
      <w:numPr>
        <w:ilvl w:val="6"/>
        <w:numId w:val="39"/>
      </w:numPr>
      <w:outlineLvl w:val="6"/>
    </w:pPr>
    <w:rPr>
      <w:rFonts w:asciiTheme="minorHAnsi" w:eastAsiaTheme="minorEastAsia" w:hAnsiTheme="minorHAnsi"/>
    </w:rPr>
  </w:style>
  <w:style w:type="paragraph" w:customStyle="1" w:styleId="H8OCAshurst">
    <w:name w:val="H8OCAshurst"/>
    <w:basedOn w:val="NormalOCAshurst"/>
    <w:uiPriority w:val="38"/>
    <w:rsid w:val="00A16450"/>
    <w:pPr>
      <w:numPr>
        <w:ilvl w:val="7"/>
        <w:numId w:val="39"/>
      </w:numPr>
      <w:outlineLvl w:val="7"/>
    </w:pPr>
    <w:rPr>
      <w:rFonts w:asciiTheme="minorHAnsi" w:eastAsiaTheme="minorEastAsia" w:hAnsiTheme="minorHAnsi"/>
    </w:rPr>
  </w:style>
  <w:style w:type="paragraph" w:customStyle="1" w:styleId="Body2OCAshurst">
    <w:name w:val="Body2OCAshurst"/>
    <w:basedOn w:val="NormalOCAshurst"/>
    <w:uiPriority w:val="2"/>
    <w:qFormat/>
    <w:rsid w:val="0092787D"/>
    <w:pPr>
      <w:tabs>
        <w:tab w:val="left" w:pos="709"/>
        <w:tab w:val="left" w:pos="1276"/>
        <w:tab w:val="left" w:pos="1843"/>
        <w:tab w:val="left" w:pos="2409"/>
        <w:tab w:val="left" w:pos="2976"/>
        <w:tab w:val="left" w:pos="3543"/>
        <w:tab w:val="left" w:pos="4110"/>
      </w:tabs>
      <w:ind w:left="709"/>
    </w:pPr>
    <w:rPr>
      <w:rFonts w:asciiTheme="minorHAnsi" w:eastAsiaTheme="minorEastAsia" w:hAnsiTheme="minorHAnsi"/>
    </w:rPr>
  </w:style>
  <w:style w:type="paragraph" w:customStyle="1" w:styleId="MainHeadingOCAshurst">
    <w:name w:val="MainHeadingOCAshurst"/>
    <w:basedOn w:val="NormalOCAshurst"/>
    <w:next w:val="NormalOCAshurst"/>
    <w:rsid w:val="00B110CF"/>
    <w:pPr>
      <w:keepNext/>
      <w:jc w:val="center"/>
    </w:pPr>
    <w:rPr>
      <w:rFonts w:asciiTheme="minorHAnsi" w:eastAsiaTheme="minorEastAsia" w:hAnsiTheme="minorHAnsi"/>
      <w:b/>
      <w:caps/>
    </w:rPr>
  </w:style>
  <w:style w:type="numbering" w:customStyle="1" w:styleId="ArticleSection1">
    <w:name w:val="Article / Section1"/>
    <w:basedOn w:val="NoList"/>
    <w:next w:val="ArticleSection"/>
    <w:uiPriority w:val="98"/>
    <w:semiHidden/>
    <w:rsid w:val="00F04606"/>
    <w:pPr>
      <w:numPr>
        <w:numId w:val="40"/>
      </w:numPr>
    </w:pPr>
  </w:style>
  <w:style w:type="numbering" w:customStyle="1" w:styleId="ArticleSection2">
    <w:name w:val="Article / Section2"/>
    <w:basedOn w:val="NoList"/>
    <w:next w:val="ArticleSection"/>
    <w:uiPriority w:val="98"/>
    <w:semiHidden/>
    <w:rsid w:val="00F04606"/>
  </w:style>
  <w:style w:type="paragraph" w:customStyle="1" w:styleId="AltBH1OCAshurst">
    <w:name w:val="AltBH1OCAshurst"/>
    <w:basedOn w:val="NormalOCAshurst"/>
    <w:uiPriority w:val="79"/>
    <w:rsid w:val="00FD0E8A"/>
    <w:pPr>
      <w:numPr>
        <w:numId w:val="46"/>
      </w:numPr>
      <w:outlineLvl w:val="0"/>
    </w:pPr>
    <w:rPr>
      <w:b/>
    </w:rPr>
  </w:style>
  <w:style w:type="paragraph" w:customStyle="1" w:styleId="AltBH3OCAshurst">
    <w:name w:val="AltBH3OCAshurst"/>
    <w:basedOn w:val="NormalOCAshurst"/>
    <w:uiPriority w:val="79"/>
    <w:rsid w:val="00FD0E8A"/>
    <w:pPr>
      <w:numPr>
        <w:ilvl w:val="2"/>
        <w:numId w:val="46"/>
      </w:numPr>
      <w:outlineLvl w:val="2"/>
    </w:pPr>
  </w:style>
  <w:style w:type="paragraph" w:customStyle="1" w:styleId="AltBH4OCAshurst">
    <w:name w:val="AltBH4OCAshurst"/>
    <w:basedOn w:val="NormalOCAshurst"/>
    <w:uiPriority w:val="79"/>
    <w:rsid w:val="00FD0E8A"/>
    <w:pPr>
      <w:numPr>
        <w:ilvl w:val="3"/>
        <w:numId w:val="46"/>
      </w:numPr>
      <w:outlineLvl w:val="3"/>
    </w:pPr>
  </w:style>
  <w:style w:type="paragraph" w:customStyle="1" w:styleId="AltBH5OCAshurst">
    <w:name w:val="AltBH5OCAshurst"/>
    <w:basedOn w:val="NormalOCAshurst"/>
    <w:uiPriority w:val="79"/>
    <w:rsid w:val="00FD0E8A"/>
    <w:pPr>
      <w:numPr>
        <w:ilvl w:val="4"/>
        <w:numId w:val="46"/>
      </w:numPr>
      <w:outlineLvl w:val="4"/>
    </w:pPr>
  </w:style>
  <w:style w:type="paragraph" w:customStyle="1" w:styleId="AltBH6OCAshurst">
    <w:name w:val="AltBH6OCAshurst"/>
    <w:basedOn w:val="NormalOCAshurst"/>
    <w:uiPriority w:val="79"/>
    <w:rsid w:val="00FD0E8A"/>
    <w:pPr>
      <w:numPr>
        <w:ilvl w:val="5"/>
        <w:numId w:val="46"/>
      </w:numPr>
      <w:outlineLvl w:val="5"/>
    </w:pPr>
  </w:style>
  <w:style w:type="paragraph" w:customStyle="1" w:styleId="AltBH7OCAShurst">
    <w:name w:val="AltBH7OCAShurst"/>
    <w:basedOn w:val="NormalOCAshurst"/>
    <w:uiPriority w:val="79"/>
    <w:rsid w:val="00FD0E8A"/>
    <w:pPr>
      <w:numPr>
        <w:ilvl w:val="6"/>
        <w:numId w:val="46"/>
      </w:numPr>
      <w:outlineLvl w:val="6"/>
    </w:pPr>
  </w:style>
  <w:style w:type="paragraph" w:customStyle="1" w:styleId="AltBH8OCAshurst">
    <w:name w:val="AltBH8OCAshurst"/>
    <w:basedOn w:val="NormalOCAshurst"/>
    <w:uiPriority w:val="79"/>
    <w:rsid w:val="00FD0E8A"/>
    <w:pPr>
      <w:numPr>
        <w:ilvl w:val="7"/>
        <w:numId w:val="46"/>
      </w:numPr>
      <w:outlineLvl w:val="7"/>
    </w:pPr>
  </w:style>
  <w:style w:type="paragraph" w:customStyle="1" w:styleId="AltBH2OCAshurst">
    <w:name w:val="AltBH2OCAshurst"/>
    <w:basedOn w:val="NormalOCAshurst"/>
    <w:uiPriority w:val="79"/>
    <w:rsid w:val="00FD0E8A"/>
    <w:pPr>
      <w:numPr>
        <w:ilvl w:val="1"/>
        <w:numId w:val="46"/>
      </w:numPr>
      <w:outlineLvl w:val="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Doc.dotx" TargetMode="External"/></Relationship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ashWordDoc.dotx</Template>
  <TotalTime>0</TotalTime>
  <Pages>13</Pages>
  <Words>7104</Words>
  <Characters>36751</Characters>
  <Application>Microsoft Office Word</Application>
  <DocSecurity>0</DocSecurity>
  <Lines>306</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Yow, Jeffrey 12265</cp:lastModifiedBy>
  <cp:revision>5</cp:revision>
  <dcterms:created xsi:type="dcterms:W3CDTF">2025-08-04T15:44:00Z</dcterms:created>
  <dcterms:modified xsi:type="dcterms:W3CDTF">2025-08-04T15:45:00Z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AuthorID">
    <vt:lpwstr>JYOW</vt:lpwstr>
  </property>
  <property fmtid="{D5CDD505-2E9C-101B-9397-08002B2CF9AE}" pid="3" name="AshurstAuthorName">
    <vt:lpwstr>Yow, Jeffrey 12265</vt:lpwstr>
  </property>
  <property fmtid="{D5CDD505-2E9C-101B-9397-08002B2CF9AE}" pid="4" name="AshurstClientDescription">
    <vt:lpwstr>J.P. Morgan Securities Plc</vt:lpwstr>
  </property>
  <property fmtid="{D5CDD505-2E9C-101B-9397-08002B2CF9AE}" pid="5" name="AshurstClientID">
    <vt:lpwstr>AshurstClientID</vt:lpwstr>
  </property>
  <property fmtid="{D5CDD505-2E9C-101B-9397-08002B2CF9AE}" pid="6" name="AshurstClientNumber">
    <vt:lpwstr>JPM27</vt:lpwstr>
  </property>
  <property fmtid="{D5CDD505-2E9C-101B-9397-08002B2CF9AE}" pid="7" name="AshurstDocNumber">
    <vt:lpwstr>365991818</vt:lpwstr>
  </property>
  <property fmtid="{D5CDD505-2E9C-101B-9397-08002B2CF9AE}" pid="8" name="AshurstDocRef">
    <vt:lpwstr>16:44\04 August 2025\EUS_ONPREM\JYOW\365991818.04</vt:lpwstr>
  </property>
  <property fmtid="{D5CDD505-2E9C-101B-9397-08002B2CF9AE}" pid="9" name="AshurstDocRefCoverPage">
    <vt:lpwstr>AshurstDocRefCoverPage</vt:lpwstr>
  </property>
  <property fmtid="{D5CDD505-2E9C-101B-9397-08002B2CF9AE}" pid="10" name="AshurstDocType">
    <vt:lpwstr/>
  </property>
  <property fmtid="{D5CDD505-2E9C-101B-9397-08002B2CF9AE}" pid="11" name="AshurstFeeEarnerInitials">
    <vt:lpwstr>FE Initials</vt:lpwstr>
  </property>
  <property fmtid="{D5CDD505-2E9C-101B-9397-08002B2CF9AE}" pid="12" name="AshurstFileNumber">
    <vt:lpwstr>JPM27.1000-241-163</vt:lpwstr>
  </property>
  <property fmtid="{D5CDD505-2E9C-101B-9397-08002B2CF9AE}" pid="13" name="AshurstLibraryName">
    <vt:lpwstr>EUS_ONPREM</vt:lpwstr>
  </property>
  <property fmtid="{D5CDD505-2E9C-101B-9397-08002B2CF9AE}" pid="14" name="AshurstMatterDescription">
    <vt:lpwstr>Removing April 2025 Jumbo Programme Limit</vt:lpwstr>
  </property>
  <property fmtid="{D5CDD505-2E9C-101B-9397-08002B2CF9AE}" pid="15" name="AshurstMatterID">
    <vt:lpwstr>AshurstMatterID</vt:lpwstr>
  </property>
  <property fmtid="{D5CDD505-2E9C-101B-9397-08002B2CF9AE}" pid="16" name="AshurstMatterNumber">
    <vt:lpwstr>1000-241-163</vt:lpwstr>
  </property>
  <property fmtid="{D5CDD505-2E9C-101B-9397-08002B2CF9AE}" pid="17" name="AshurstOurRef">
    <vt:lpwstr>JYOW\JPM27.1000-241-163</vt:lpwstr>
  </property>
  <property fmtid="{D5CDD505-2E9C-101B-9397-08002B2CF9AE}" pid="18" name="AshurstPartnerInitials">
    <vt:lpwstr>Partner Initials</vt:lpwstr>
  </property>
  <property fmtid="{D5CDD505-2E9C-101B-9397-08002B2CF9AE}" pid="19" name="AshurstTypistID">
    <vt:lpwstr/>
  </property>
  <property fmtid="{D5CDD505-2E9C-101B-9397-08002B2CF9AE}" pid="20" name="AshurstTypistName">
    <vt:lpwstr/>
  </property>
  <property fmtid="{D5CDD505-2E9C-101B-9397-08002B2CF9AE}" pid="21" name="AshurstVersionNumber">
    <vt:lpwstr/>
  </property>
  <property fmtid="{D5CDD505-2E9C-101B-9397-08002B2CF9AE}" pid="22" name="document number">
    <vt:lpwstr>\</vt:lpwstr>
  </property>
</Properties>
</file>